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7A94" w14:textId="380EFD73" w:rsidR="00473889" w:rsidRPr="00473889" w:rsidRDefault="00473889" w:rsidP="00473889">
      <w:pPr>
        <w:jc w:val="center"/>
        <w:rPr>
          <w:b/>
          <w:bCs/>
          <w:sz w:val="32"/>
          <w:szCs w:val="32"/>
        </w:rPr>
      </w:pPr>
      <w:r w:rsidRPr="00473889">
        <w:rPr>
          <w:b/>
          <w:bCs/>
          <w:sz w:val="32"/>
          <w:szCs w:val="32"/>
        </w:rPr>
        <w:t>2021 Precedent-setting court decisions</w:t>
      </w:r>
    </w:p>
    <w:p w14:paraId="321DFBD8" w14:textId="77777777" w:rsidR="00473889" w:rsidRDefault="00473889">
      <w:pPr>
        <w:rPr>
          <w:b/>
          <w:bCs/>
        </w:rPr>
      </w:pPr>
    </w:p>
    <w:p w14:paraId="2850958C" w14:textId="77777777" w:rsidR="00473889" w:rsidRDefault="00473889">
      <w:pPr>
        <w:rPr>
          <w:b/>
          <w:bCs/>
        </w:rPr>
      </w:pPr>
    </w:p>
    <w:p w14:paraId="402B87AD" w14:textId="3DCE243A" w:rsidR="005E66B0" w:rsidRPr="00B91550" w:rsidRDefault="00B91550">
      <w:pPr>
        <w:rPr>
          <w:b/>
          <w:bCs/>
        </w:rPr>
      </w:pPr>
      <w:r w:rsidRPr="00B91550">
        <w:rPr>
          <w:b/>
          <w:bCs/>
        </w:rPr>
        <w:t>Helmick v. McDonough</w:t>
      </w:r>
      <w:r w:rsidR="000542DD">
        <w:rPr>
          <w:b/>
          <w:bCs/>
        </w:rPr>
        <w:t xml:space="preserve"> </w:t>
      </w:r>
      <w:r w:rsidR="000542DD">
        <w:t>Decided May 25, 2021</w:t>
      </w:r>
    </w:p>
    <w:p w14:paraId="08E90582" w14:textId="77777777" w:rsidR="00826C3A" w:rsidRDefault="00826C3A"/>
    <w:p w14:paraId="4F541D29" w14:textId="47FB6CAF" w:rsidR="008D23DD" w:rsidRDefault="00504CF6">
      <w:r>
        <w:t xml:space="preserve">     If a claimant dies while a claim is pending, certain eligible </w:t>
      </w:r>
      <w:r w:rsidR="002D67E1">
        <w:t xml:space="preserve">living </w:t>
      </w:r>
      <w:r>
        <w:t>people may request a substitution to continue the claim</w:t>
      </w:r>
      <w:r w:rsidR="005A6A70">
        <w:t xml:space="preserve"> and receive accrued benefits that the original claimant would have received</w:t>
      </w:r>
      <w:r>
        <w:t xml:space="preserve">. </w:t>
      </w:r>
      <w:r w:rsidR="00D01C65">
        <w:t>For claimants who are not dependent</w:t>
      </w:r>
      <w:r w:rsidR="00D97AC0">
        <w:t xml:space="preserve">s, </w:t>
      </w:r>
      <w:r w:rsidR="008D23DD" w:rsidRPr="008D23DD">
        <w:t>only so much of the accrued benefit may be paid as necessary to reimburse the person who bore the expense of last sickness or burial.</w:t>
      </w:r>
      <w:r w:rsidR="00826C3A">
        <w:t xml:space="preserve"> </w:t>
      </w:r>
    </w:p>
    <w:p w14:paraId="0AC57C00" w14:textId="5138E743" w:rsidR="00897590" w:rsidRDefault="00826C3A">
      <w:r>
        <w:t xml:space="preserve">    </w:t>
      </w:r>
      <w:r w:rsidR="00504CF6">
        <w:t xml:space="preserve">In Helmick, the claimant is the </w:t>
      </w:r>
      <w:r w:rsidR="00D97AC0">
        <w:t xml:space="preserve">adult </w:t>
      </w:r>
      <w:r w:rsidR="00504CF6">
        <w:t>son of the veteran</w:t>
      </w:r>
      <w:r w:rsidR="00D01C65">
        <w:t xml:space="preserve"> and hi</w:t>
      </w:r>
      <w:r w:rsidR="005C2EEC">
        <w:t>s</w:t>
      </w:r>
      <w:r w:rsidR="00504CF6">
        <w:t xml:space="preserve"> spouse, both deceased. </w:t>
      </w:r>
      <w:r w:rsidR="00D01C65">
        <w:t xml:space="preserve">After the veteran’s death, his widow made a pension claim, which was </w:t>
      </w:r>
      <w:r w:rsidR="00504CF6">
        <w:t xml:space="preserve">pending when she died. Helmick then made a claim for expenses incurred with respect to his mother's last sickness. The son had loaned his mom money to pay bills. She paid the </w:t>
      </w:r>
      <w:proofErr w:type="gramStart"/>
      <w:r w:rsidR="00504CF6">
        <w:t>bills, but</w:t>
      </w:r>
      <w:proofErr w:type="gramEnd"/>
      <w:r w:rsidR="00504CF6">
        <w:t xml:space="preserve"> was waiting on the VA decision to pay him back</w:t>
      </w:r>
      <w:r w:rsidR="00D01C65">
        <w:t xml:space="preserve"> and unfortunately </w:t>
      </w:r>
      <w:r w:rsidR="00504CF6">
        <w:t xml:space="preserve">died before the claim was decided. BVA reimbursed Helmick for funeral </w:t>
      </w:r>
      <w:proofErr w:type="gramStart"/>
      <w:r w:rsidR="00504CF6">
        <w:t>expenses, but</w:t>
      </w:r>
      <w:proofErr w:type="gramEnd"/>
      <w:r w:rsidR="00504CF6">
        <w:t xml:space="preserve"> said that he did not qualify for reimbursement of any other expenses because his mother was the one who paid them</w:t>
      </w:r>
      <w:r w:rsidR="00C4106D">
        <w:t>. F</w:t>
      </w:r>
      <w:r w:rsidR="00504CF6">
        <w:t xml:space="preserve">urthermore, </w:t>
      </w:r>
      <w:r w:rsidR="00C4106D">
        <w:t xml:space="preserve">VA said that </w:t>
      </w:r>
      <w:r w:rsidR="00504CF6">
        <w:t xml:space="preserve">his mom making a pension claim based on certain expenses and him claiming reimbursement for those expenses was like </w:t>
      </w:r>
      <w:proofErr w:type="gramStart"/>
      <w:r w:rsidR="00504CF6">
        <w:t>double-counting</w:t>
      </w:r>
      <w:proofErr w:type="gramEnd"/>
      <w:r w:rsidR="00504CF6">
        <w:t xml:space="preserve"> the same money, but did not provide any reference for this interpretation. </w:t>
      </w:r>
      <w:r>
        <w:t xml:space="preserve">CAVC (Court of Appeals for Veterans Claims) defined the phrase “bore the expense,” to mean more than “paid the </w:t>
      </w:r>
      <w:r w:rsidR="00C4106D">
        <w:t>bill</w:t>
      </w:r>
      <w:r>
        <w:t xml:space="preserve">.” </w:t>
      </w:r>
      <w:r w:rsidR="00897590">
        <w:t>CAVC said</w:t>
      </w:r>
      <w:r w:rsidR="000542DD" w:rsidRPr="000542DD">
        <w:t xml:space="preserve"> </w:t>
      </w:r>
      <w:r w:rsidR="000542DD">
        <w:t>“</w:t>
      </w:r>
      <w:bookmarkStart w:id="0" w:name="_Hlk80515144"/>
      <w:r w:rsidR="000542DD">
        <w:t>Congress's clear intent was to make whole the one who—one way or another—was saddled with the financial burden</w:t>
      </w:r>
      <w:bookmarkEnd w:id="0"/>
      <w:r w:rsidR="000542DD">
        <w:t xml:space="preserve"> of a beneficiary's last sickness and burial. And the plain meaning of </w:t>
      </w:r>
      <w:r w:rsidR="00BD3C15">
        <w:t>‘</w:t>
      </w:r>
      <w:r w:rsidR="000542DD">
        <w:t>bore the expense</w:t>
      </w:r>
      <w:r w:rsidR="00BD3C15">
        <w:t>’</w:t>
      </w:r>
      <w:r w:rsidR="000542DD">
        <w:t xml:space="preserve"> includes whatever circumstances created that financial burden.” They said that the widow paying bills, and the son loaning money, were two different things</w:t>
      </w:r>
      <w:r w:rsidR="00C4106D">
        <w:t xml:space="preserve"> and not counting the same money twice</w:t>
      </w:r>
      <w:r w:rsidR="000542DD">
        <w:t xml:space="preserve">. If the loan was indeed used to pay the widow’s expenses, then the son did bear </w:t>
      </w:r>
      <w:r w:rsidR="00BD3C15">
        <w:t>the</w:t>
      </w:r>
      <w:r w:rsidR="000542DD">
        <w:t xml:space="preserve"> </w:t>
      </w:r>
      <w:r w:rsidR="00520DD5">
        <w:t xml:space="preserve">expense, even though he was not the person who ‘paid’ the </w:t>
      </w:r>
      <w:r w:rsidR="009E03F0">
        <w:t>expense</w:t>
      </w:r>
      <w:r w:rsidR="000542DD">
        <w:t>.</w:t>
      </w:r>
    </w:p>
    <w:p w14:paraId="3844A42F" w14:textId="77777777" w:rsidR="00826C3A" w:rsidRDefault="00826C3A"/>
    <w:p w14:paraId="46E8A27B" w14:textId="77777777" w:rsidR="00473889" w:rsidRDefault="00473889">
      <w:pPr>
        <w:rPr>
          <w:b/>
          <w:bCs/>
        </w:rPr>
      </w:pPr>
    </w:p>
    <w:p w14:paraId="38C6F16F" w14:textId="3685D27C" w:rsidR="00BD3C15" w:rsidRDefault="00BD3C15">
      <w:r w:rsidRPr="00BD3C15">
        <w:rPr>
          <w:b/>
          <w:bCs/>
        </w:rPr>
        <w:t>Andrews v. McDonough</w:t>
      </w:r>
      <w:r>
        <w:t xml:space="preserve"> Decided May 28, 2021</w:t>
      </w:r>
    </w:p>
    <w:p w14:paraId="18B8DD47" w14:textId="038EB1B2" w:rsidR="00BD3C15" w:rsidRDefault="00BD3C15"/>
    <w:p w14:paraId="7648DD8D" w14:textId="6CE8EB6B" w:rsidR="007530E9" w:rsidRDefault="007530E9" w:rsidP="007530E9">
      <w:r>
        <w:t xml:space="preserve">     </w:t>
      </w:r>
      <w:r w:rsidR="00B3316D">
        <w:t xml:space="preserve">Under the Veterans Appeals Improvement and Modernization Act of 2017 (AMA), claimants may now choose between three options/lanes after receiving an unfavorable decision: 1) supplemental claim based on new and material evidence (replaces the legacy reopen claim), 2) higher-level review based on evidence of record, or 3) file a NOD directly with BVA. </w:t>
      </w:r>
      <w:r>
        <w:t>Unlike the legacy system, the NOD is now filed with the Board and is used to initiate an appeal to the Board rather than simply convey disagreement with the VA decision. When appealing to the Board</w:t>
      </w:r>
      <w:r w:rsidR="00504CF6">
        <w:t xml:space="preserve"> (the NOD)</w:t>
      </w:r>
      <w:r>
        <w:t xml:space="preserve">, the claimant has three more options: (1) a direct review docket, (2) an additional evidence docket, or (3) a hearing docket. No matter which </w:t>
      </w:r>
      <w:proofErr w:type="gramStart"/>
      <w:r>
        <w:t>docket</w:t>
      </w:r>
      <w:proofErr w:type="gramEnd"/>
      <w:r>
        <w:t xml:space="preserve"> the claimant selects, VA’s duty to assist no longer applies</w:t>
      </w:r>
      <w:r w:rsidR="00FC142B">
        <w:t xml:space="preserve"> at this stage</w:t>
      </w:r>
      <w:r>
        <w:t>.</w:t>
      </w:r>
      <w:r w:rsidR="00B3316D">
        <w:t xml:space="preserve"> Prior to AMA, continuous evidence gathering and </w:t>
      </w:r>
      <w:proofErr w:type="spellStart"/>
      <w:r w:rsidR="00B3316D">
        <w:t>readjudication</w:t>
      </w:r>
      <w:proofErr w:type="spellEnd"/>
      <w:r w:rsidR="00B3316D">
        <w:t xml:space="preserve"> of the same matter caused appeals to churn in the system. VA had a statutory duty to assist the claimant throughout the entire legacy appeals process. Under AMA, VA has no duty to assist during a Board appeal.</w:t>
      </w:r>
    </w:p>
    <w:p w14:paraId="430BBFE4" w14:textId="04ADFBF2" w:rsidR="00504CF6" w:rsidRDefault="00504CF6" w:rsidP="007530E9">
      <w:r>
        <w:t xml:space="preserve">     </w:t>
      </w:r>
      <w:r w:rsidR="008F6C27">
        <w:t>Veteran</w:t>
      </w:r>
      <w:r>
        <w:t xml:space="preserve"> Andrews had selected a NOD under AMA, and within that option, selected a direct review docket, which is a review of evidence of record. Claimants may change dockets within 1 year of the </w:t>
      </w:r>
      <w:r w:rsidR="00FC142B">
        <w:t xml:space="preserve">Area of Jurisdiction (AOJ) </w:t>
      </w:r>
      <w:r>
        <w:t xml:space="preserve">decision or within 60 days of when the Board receives the claimant’s NOD, whichever is later. In this case, Andrews did not make the request within the stated timeframe, and </w:t>
      </w:r>
      <w:r>
        <w:lastRenderedPageBreak/>
        <w:t>further, VA will not grant a request to modify a NOD if the claimant has already submitted evidence or testimony, which he had.</w:t>
      </w:r>
      <w:r w:rsidR="004F0A75" w:rsidRPr="004F0A75">
        <w:t xml:space="preserve"> </w:t>
      </w:r>
      <w:r w:rsidR="004F0A75">
        <w:t>BVA remanded an AOJ decision in Andrews’ case, and according to AMA rules, did not ask VA to take Duty to Assist steps.</w:t>
      </w:r>
      <w:r w:rsidR="008F6C27" w:rsidRPr="008F6C27">
        <w:t xml:space="preserve"> </w:t>
      </w:r>
      <w:r w:rsidR="008F6C27">
        <w:t>Andrews asked for the opportunity to submit more evidence and have a hearing before a final decision was made in his appeal.</w:t>
      </w:r>
    </w:p>
    <w:p w14:paraId="1443BEE7" w14:textId="605C2CBE" w:rsidR="009606E4" w:rsidRDefault="007530E9" w:rsidP="005D74F4">
      <w:r>
        <w:t xml:space="preserve">     </w:t>
      </w:r>
      <w:r w:rsidR="003E60A3">
        <w:t xml:space="preserve">CAVC finds that </w:t>
      </w:r>
      <w:r w:rsidR="004F0A75">
        <w:t xml:space="preserve">BVA </w:t>
      </w:r>
      <w:r w:rsidR="003E60A3">
        <w:t xml:space="preserve">remands do not </w:t>
      </w:r>
      <w:r w:rsidR="00CB0700">
        <w:t>affect</w:t>
      </w:r>
      <w:r w:rsidR="003E60A3">
        <w:t xml:space="preserve"> the rules of the </w:t>
      </w:r>
      <w:bookmarkStart w:id="1" w:name="_Hlk80520179"/>
      <w:r w:rsidR="003E60A3">
        <w:t>AMA</w:t>
      </w:r>
      <w:bookmarkEnd w:id="1"/>
      <w:r w:rsidR="003E60A3">
        <w:t>. Furthermore, the</w:t>
      </w:r>
      <w:r w:rsidR="005D74F4">
        <w:t>y found that</w:t>
      </w:r>
      <w:r w:rsidR="003E60A3">
        <w:t xml:space="preserve"> AMA rules do not change any of the legacy rules regarding duty to assist</w:t>
      </w:r>
      <w:r w:rsidR="00605A3A">
        <w:t xml:space="preserve">, particularly </w:t>
      </w:r>
      <w:proofErr w:type="gramStart"/>
      <w:r w:rsidR="00605A3A">
        <w:t xml:space="preserve">with </w:t>
      </w:r>
      <w:r w:rsidR="008F6C27">
        <w:t>regard to</w:t>
      </w:r>
      <w:proofErr w:type="gramEnd"/>
      <w:r w:rsidR="008F6C27">
        <w:t xml:space="preserve"> </w:t>
      </w:r>
      <w:proofErr w:type="spellStart"/>
      <w:r w:rsidR="00605A3A">
        <w:t>Kutcherousky</w:t>
      </w:r>
      <w:proofErr w:type="spellEnd"/>
      <w:r w:rsidR="00605A3A">
        <w:t xml:space="preserve">. </w:t>
      </w:r>
      <w:r w:rsidR="005D74F4">
        <w:t xml:space="preserve">The </w:t>
      </w:r>
      <w:proofErr w:type="spellStart"/>
      <w:r w:rsidR="005D74F4">
        <w:t>Kutcherousky</w:t>
      </w:r>
      <w:proofErr w:type="spellEnd"/>
      <w:r w:rsidR="005D74F4">
        <w:t xml:space="preserve"> decision (referring to legacy claims) states that when the Board remands a case to the </w:t>
      </w:r>
      <w:r w:rsidR="00FC142B">
        <w:t>AOJ,</w:t>
      </w:r>
      <w:r w:rsidR="005D74F4">
        <w:t xml:space="preserve"> the Board must reiterate the appellant's right to submit additional evidence and argument at hearing.</w:t>
      </w:r>
      <w:r w:rsidR="008F6C27">
        <w:t xml:space="preserve"> </w:t>
      </w:r>
      <w:proofErr w:type="spellStart"/>
      <w:r w:rsidR="008F6C27">
        <w:t>Kutcherousky</w:t>
      </w:r>
      <w:proofErr w:type="spellEnd"/>
      <w:r w:rsidR="008F6C27">
        <w:t xml:space="preserve"> does not apply because AMA appeals are directly to BVA and not a disagreement with VA AOJ, removing AOJ jurisdiction.</w:t>
      </w:r>
      <w:r w:rsidR="005D74F4">
        <w:t xml:space="preserve"> In this case, the law explicitly states that the Board may not consider new evidence or seek out new evidence. (This is sort of moot because now that this has been decided, the CAVC remanded it back for a new VA examination. </w:t>
      </w:r>
      <w:proofErr w:type="spellStart"/>
      <w:r w:rsidR="005D74F4">
        <w:t>i.e</w:t>
      </w:r>
      <w:proofErr w:type="spellEnd"/>
      <w:r w:rsidR="005D74F4">
        <w:t xml:space="preserve"> New Evidence.)</w:t>
      </w:r>
      <w:r w:rsidR="00E74BFE">
        <w:t xml:space="preserve"> </w:t>
      </w:r>
    </w:p>
    <w:p w14:paraId="4AD335CC" w14:textId="77777777" w:rsidR="00F20290" w:rsidRDefault="00F20290" w:rsidP="005D74F4"/>
    <w:p w14:paraId="672CA0CB" w14:textId="77777777" w:rsidR="00473889" w:rsidRDefault="00473889">
      <w:pPr>
        <w:rPr>
          <w:b/>
          <w:bCs/>
        </w:rPr>
      </w:pPr>
    </w:p>
    <w:p w14:paraId="2ED71A3A" w14:textId="65AE34CE" w:rsidR="009606E4" w:rsidRDefault="00F20290">
      <w:r w:rsidRPr="00F20290">
        <w:rPr>
          <w:b/>
          <w:bCs/>
        </w:rPr>
        <w:t>Huerta v. McDonough</w:t>
      </w:r>
      <w:r>
        <w:t xml:space="preserve"> Decided April 27, 2021</w:t>
      </w:r>
    </w:p>
    <w:p w14:paraId="2244B75D" w14:textId="413B3C4F" w:rsidR="00F20290" w:rsidRDefault="00F20290"/>
    <w:p w14:paraId="4A05DA09" w14:textId="658DE8B5" w:rsidR="00BC37EE" w:rsidRDefault="00027A0E">
      <w:r>
        <w:t xml:space="preserve">     </w:t>
      </w:r>
      <w:r w:rsidR="00A73A1F">
        <w:t xml:space="preserve">CAVC found that </w:t>
      </w:r>
      <w:r w:rsidR="00C47EDB">
        <w:t xml:space="preserve">since </w:t>
      </w:r>
      <w:r>
        <w:t xml:space="preserve">DC 5000 does not </w:t>
      </w:r>
      <w:r w:rsidR="00C47EDB">
        <w:t xml:space="preserve">state that </w:t>
      </w:r>
      <w:r>
        <w:t>a</w:t>
      </w:r>
      <w:r w:rsidR="00A73A1F">
        <w:t xml:space="preserve">ctive osteomyelitis </w:t>
      </w:r>
      <w:r w:rsidR="0061484E">
        <w:t>i</w:t>
      </w:r>
      <w:r w:rsidR="00A73A1F">
        <w:t xml:space="preserve">s a requirement to meet criteria for the 100% level, a diagnosis of active osteomyelitis is </w:t>
      </w:r>
      <w:r w:rsidR="00C47EDB">
        <w:t xml:space="preserve">thus </w:t>
      </w:r>
      <w:r w:rsidR="00A73A1F">
        <w:t>not necessary.</w:t>
      </w:r>
      <w:r w:rsidR="00A73A1F" w:rsidRPr="00A73A1F">
        <w:t xml:space="preserve"> </w:t>
      </w:r>
      <w:r w:rsidR="00A73A1F">
        <w:t xml:space="preserve">The Board </w:t>
      </w:r>
      <w:r w:rsidR="00C47EDB">
        <w:t xml:space="preserve">had </w:t>
      </w:r>
      <w:r w:rsidR="00A73A1F">
        <w:t xml:space="preserve">denied a 100% rating </w:t>
      </w:r>
      <w:r w:rsidR="00585254">
        <w:t>using rationale</w:t>
      </w:r>
      <w:r w:rsidR="00A73A1F">
        <w:t xml:space="preserve"> that </w:t>
      </w:r>
      <w:r w:rsidR="00585254">
        <w:t xml:space="preserve">the </w:t>
      </w:r>
      <w:r w:rsidR="00A73A1F">
        <w:t>osteomyelitis was not an active process and currently has no discernible symptoms. Huerta argue</w:t>
      </w:r>
      <w:r w:rsidR="00C47EDB">
        <w:t>d</w:t>
      </w:r>
      <w:r w:rsidR="00A73A1F">
        <w:t xml:space="preserve"> that DC 5000 does not state that an active process is necessary. </w:t>
      </w:r>
      <w:bookmarkStart w:id="2" w:name="_Hlk80516526"/>
      <w:r w:rsidR="00A73A1F">
        <w:t xml:space="preserve">VA is mandated to interpret the Rating Schedule using the plain meaning of the language. </w:t>
      </w:r>
      <w:bookmarkEnd w:id="2"/>
      <w:r w:rsidR="00A73A1F">
        <w:t xml:space="preserve">Support for the veteran's interpretation is the conspicuous absence of any reference to active infection in the 100% criteria. </w:t>
      </w:r>
      <w:r w:rsidR="00F32888">
        <w:t>CAVC stated that, i</w:t>
      </w:r>
      <w:r w:rsidR="00A73A1F">
        <w:t xml:space="preserve">f VA intended DC 5000 to distinguish between active and inactive disease process, VA knew how to write the provision to do so, as the nearby diagnostic codes </w:t>
      </w:r>
      <w:r w:rsidR="00585254">
        <w:t xml:space="preserve">in the Rating Schedule </w:t>
      </w:r>
      <w:r w:rsidR="00A73A1F">
        <w:t xml:space="preserve">do clearly state “active disease process.” </w:t>
      </w:r>
      <w:r w:rsidR="00585254">
        <w:t xml:space="preserve">The </w:t>
      </w:r>
      <w:r w:rsidR="00A73A1F">
        <w:t>CAVC decision, as well as the dissenting opinion</w:t>
      </w:r>
      <w:r w:rsidR="00585254">
        <w:t>,</w:t>
      </w:r>
      <w:r w:rsidR="00A73A1F">
        <w:t xml:space="preserve"> notes that VA has the wherewithal to revise the DC, </w:t>
      </w:r>
      <w:r w:rsidR="00F32888">
        <w:t xml:space="preserve">which has been </w:t>
      </w:r>
      <w:r w:rsidR="00A73A1F">
        <w:t>unchanged since 1964.</w:t>
      </w:r>
      <w:r w:rsidR="00A73A1F" w:rsidRPr="00A73A1F">
        <w:t xml:space="preserve"> </w:t>
      </w:r>
    </w:p>
    <w:p w14:paraId="188579A8" w14:textId="3340068D" w:rsidR="00F20290" w:rsidRDefault="00BC37EE">
      <w:r>
        <w:t xml:space="preserve">     One d</w:t>
      </w:r>
      <w:r w:rsidR="00A73A1F">
        <w:t xml:space="preserve">issenting </w:t>
      </w:r>
      <w:r w:rsidR="0061484E">
        <w:t>j</w:t>
      </w:r>
      <w:r w:rsidR="00A73A1F">
        <w:t>udge point</w:t>
      </w:r>
      <w:r>
        <w:t>ed</w:t>
      </w:r>
      <w:r w:rsidR="00A73A1F">
        <w:t xml:space="preserve"> out that the whole picture of DC 5000 </w:t>
      </w:r>
      <w:r>
        <w:t>implies that</w:t>
      </w:r>
      <w:r w:rsidR="00A73A1F">
        <w:t xml:space="preserve"> an active process is </w:t>
      </w:r>
      <w:r>
        <w:t>required</w:t>
      </w:r>
      <w:r w:rsidR="00A73A1F">
        <w:t xml:space="preserve">, and </w:t>
      </w:r>
      <w:r w:rsidR="00F32888">
        <w:t xml:space="preserve">that VA </w:t>
      </w:r>
      <w:r w:rsidR="00A73A1F">
        <w:t xml:space="preserve">likely meant to distinguish active process from inactive process. </w:t>
      </w:r>
      <w:r w:rsidR="00C47EDB">
        <w:t>He also uses the nearby diagnostic codes as his guide</w:t>
      </w:r>
      <w:r w:rsidR="00F32888">
        <w:t xml:space="preserve">, saying </w:t>
      </w:r>
      <w:r w:rsidR="0061484E">
        <w:t>since that</w:t>
      </w:r>
      <w:r>
        <w:t xml:space="preserve"> is the structure of the other diagnostic codes, then DC</w:t>
      </w:r>
      <w:r w:rsidR="0061484E">
        <w:t xml:space="preserve"> 5000 was meant to do the same thing</w:t>
      </w:r>
      <w:r w:rsidR="00C47EDB">
        <w:t xml:space="preserve">. </w:t>
      </w:r>
      <w:r w:rsidR="00A73A1F">
        <w:t xml:space="preserve">The result, </w:t>
      </w:r>
      <w:r w:rsidR="0061484E">
        <w:t>the judge</w:t>
      </w:r>
      <w:r w:rsidR="00A73A1F">
        <w:t xml:space="preserve"> says, is that a symptomless veteran obtains a 100% rating in perpetuity merely on a diagnosis of chronic osteomyelitis of the pelvis.</w:t>
      </w:r>
    </w:p>
    <w:p w14:paraId="7DA70E6A" w14:textId="5B108AFB" w:rsidR="002D680B" w:rsidRDefault="002D680B"/>
    <w:p w14:paraId="3EBB09B1" w14:textId="77777777" w:rsidR="00473889" w:rsidRDefault="00473889">
      <w:pPr>
        <w:rPr>
          <w:b/>
          <w:bCs/>
        </w:rPr>
      </w:pPr>
    </w:p>
    <w:p w14:paraId="2F6FE058" w14:textId="36218368" w:rsidR="00027A0E" w:rsidRDefault="00E20171">
      <w:proofErr w:type="spellStart"/>
      <w:r w:rsidRPr="00E20171">
        <w:rPr>
          <w:b/>
          <w:bCs/>
        </w:rPr>
        <w:t>Beaudette</w:t>
      </w:r>
      <w:proofErr w:type="spellEnd"/>
      <w:r w:rsidRPr="00E20171">
        <w:rPr>
          <w:b/>
          <w:bCs/>
        </w:rPr>
        <w:t xml:space="preserve"> v </w:t>
      </w:r>
      <w:proofErr w:type="gramStart"/>
      <w:r w:rsidRPr="00E20171">
        <w:rPr>
          <w:b/>
          <w:bCs/>
        </w:rPr>
        <w:t>McDonough</w:t>
      </w:r>
      <w:r>
        <w:t xml:space="preserve">  Decided</w:t>
      </w:r>
      <w:proofErr w:type="gramEnd"/>
      <w:r>
        <w:t xml:space="preserve"> April 19, 2021</w:t>
      </w:r>
    </w:p>
    <w:p w14:paraId="4887FEEE" w14:textId="244BDCBC" w:rsidR="00E20171" w:rsidRDefault="00E20171"/>
    <w:p w14:paraId="20EDAD6A" w14:textId="0F1DC520" w:rsidR="00BC048E" w:rsidRDefault="004436E3">
      <w:r>
        <w:t xml:space="preserve">     There are two main issues in this case: first, </w:t>
      </w:r>
      <w:r w:rsidR="00585254">
        <w:t>it was determined that</w:t>
      </w:r>
      <w:r>
        <w:t xml:space="preserve"> </w:t>
      </w:r>
      <w:bookmarkStart w:id="3" w:name="_Hlk80348996"/>
      <w:r>
        <w:t>VA incorrectly limited the reviewability of Caregiver Program determinations</w:t>
      </w:r>
      <w:bookmarkEnd w:id="3"/>
      <w:r>
        <w:t xml:space="preserve">, such that a writ of mandamus is proper; and second, </w:t>
      </w:r>
      <w:r w:rsidR="00585254">
        <w:t>that</w:t>
      </w:r>
      <w:r>
        <w:t xml:space="preserve"> petitioners met the prerequisites for class certification. </w:t>
      </w:r>
      <w:bookmarkStart w:id="4" w:name="_Hlk80517637"/>
      <w:r w:rsidR="008A3E9A">
        <w:t>A writ of mandamus or a writ of mandate is when a higher court tells a lower court to do their job without delay</w:t>
      </w:r>
      <w:bookmarkEnd w:id="4"/>
      <w:r w:rsidR="008A3E9A">
        <w:t xml:space="preserve">. </w:t>
      </w:r>
    </w:p>
    <w:p w14:paraId="0A48987A" w14:textId="464EEEC6" w:rsidR="008A3E9A" w:rsidRDefault="00BC048E">
      <w:r>
        <w:t xml:space="preserve">     </w:t>
      </w:r>
      <w:r w:rsidR="004436E3">
        <w:t xml:space="preserve">Mr. </w:t>
      </w:r>
      <w:proofErr w:type="spellStart"/>
      <w:r w:rsidR="004436E3">
        <w:t>Beaudette</w:t>
      </w:r>
      <w:proofErr w:type="spellEnd"/>
      <w:r w:rsidR="004436E3">
        <w:t xml:space="preserve"> served 5 tours in Iraq and Afghanistan and when discharged was evaluated as 100% disabled by VA. His wife, Ms. </w:t>
      </w:r>
      <w:proofErr w:type="spellStart"/>
      <w:r w:rsidR="004436E3">
        <w:t>Beaudette</w:t>
      </w:r>
      <w:proofErr w:type="spellEnd"/>
      <w:r w:rsidR="004436E3">
        <w:t xml:space="preserve">, was determined by VA to be an eligible caregiver and they both received benefits. Years later the couple was subject to a review and since Mr. </w:t>
      </w:r>
      <w:proofErr w:type="spellStart"/>
      <w:r w:rsidR="004436E3">
        <w:t>Beaudette</w:t>
      </w:r>
      <w:proofErr w:type="spellEnd"/>
      <w:r w:rsidR="004436E3">
        <w:t xml:space="preserve"> was recovering from two surgeries, he requested a rescheduling, which VA denied. He did not </w:t>
      </w:r>
      <w:proofErr w:type="gramStart"/>
      <w:r w:rsidR="004436E3">
        <w:t>attend</w:t>
      </w:r>
      <w:proofErr w:type="gramEnd"/>
      <w:r w:rsidR="004436E3">
        <w:t xml:space="preserve"> and the medical review was based only on records. The medical determination was that </w:t>
      </w:r>
      <w:r>
        <w:t>he</w:t>
      </w:r>
      <w:r w:rsidR="004436E3">
        <w:t xml:space="preserve"> no longer met </w:t>
      </w:r>
      <w:r w:rsidR="004436E3">
        <w:lastRenderedPageBreak/>
        <w:t xml:space="preserve">criteria for caregiving. </w:t>
      </w:r>
      <w:r>
        <w:t xml:space="preserve">VA then declared Mr. </w:t>
      </w:r>
      <w:proofErr w:type="spellStart"/>
      <w:r>
        <w:t>Beaudette</w:t>
      </w:r>
      <w:proofErr w:type="spellEnd"/>
      <w:r>
        <w:t xml:space="preserve"> ineligible and stopped Ms. </w:t>
      </w:r>
      <w:proofErr w:type="spellStart"/>
      <w:r>
        <w:t>Beaudette’s</w:t>
      </w:r>
      <w:proofErr w:type="spellEnd"/>
      <w:r>
        <w:t xml:space="preserve"> benefits. They </w:t>
      </w:r>
      <w:r w:rsidR="00BC37EE">
        <w:t xml:space="preserve">were told they </w:t>
      </w:r>
      <w:r>
        <w:t>could not appeal this decision to BVA</w:t>
      </w:r>
      <w:r w:rsidR="002F4EC6">
        <w:t>, because all determinations in the Caregiver Program are medical determinations</w:t>
      </w:r>
      <w:r>
        <w:t>.</w:t>
      </w:r>
    </w:p>
    <w:p w14:paraId="0DE06C7B" w14:textId="5C462751" w:rsidR="008A3E9A" w:rsidRDefault="008A3E9A">
      <w:r>
        <w:t xml:space="preserve">     </w:t>
      </w:r>
      <w:r w:rsidR="0002474D">
        <w:t xml:space="preserve">In 2010, Congress established the </w:t>
      </w:r>
      <w:bookmarkStart w:id="5" w:name="_Hlk80522857"/>
      <w:bookmarkStart w:id="6" w:name="_Hlk80517687"/>
      <w:r w:rsidR="0002474D">
        <w:t>Program of Comprehensive Assistance for Family Caregivers (Caregiver Program</w:t>
      </w:r>
      <w:bookmarkEnd w:id="5"/>
      <w:r w:rsidR="0002474D">
        <w:t xml:space="preserve">), to provide financial assistance to caregivers of seriously injured combat veterans. </w:t>
      </w:r>
      <w:bookmarkStart w:id="7" w:name="_Hlk80517701"/>
      <w:bookmarkEnd w:id="6"/>
      <w:r w:rsidR="0002474D">
        <w:t>VA</w:t>
      </w:r>
      <w:r w:rsidR="004436E3">
        <w:t xml:space="preserve"> ha</w:t>
      </w:r>
      <w:r w:rsidR="0002474D">
        <w:t xml:space="preserve">s </w:t>
      </w:r>
      <w:r w:rsidR="004436E3">
        <w:t xml:space="preserve">a </w:t>
      </w:r>
      <w:r w:rsidR="0002474D">
        <w:t xml:space="preserve">longstanding rule that a "medical determination" is not appealable. </w:t>
      </w:r>
      <w:bookmarkEnd w:id="7"/>
      <w:r w:rsidR="0002474D">
        <w:t xml:space="preserve">VA further emphasized that </w:t>
      </w:r>
      <w:r w:rsidR="004436E3">
        <w:t xml:space="preserve">in the Caregiver Program, </w:t>
      </w:r>
      <w:r w:rsidR="0002474D">
        <w:t xml:space="preserve">even non-medical determinations, such as decisions regarding eligibility, are exempt from appellate review. </w:t>
      </w:r>
      <w:r w:rsidR="00585254">
        <w:t>If they disagreed with a decision, c</w:t>
      </w:r>
      <w:r>
        <w:t>aregivers could only request a review from VHA or Veterans Integrated Service Network (VISN).</w:t>
      </w:r>
      <w:r w:rsidR="004436E3" w:rsidRPr="004436E3">
        <w:t xml:space="preserve"> </w:t>
      </w:r>
      <w:bookmarkStart w:id="8" w:name="_Hlk80517820"/>
      <w:r w:rsidR="004436E3">
        <w:t xml:space="preserve">CAVC determined that VA's interpretation </w:t>
      </w:r>
      <w:r w:rsidR="00BC37EE">
        <w:t xml:space="preserve">was </w:t>
      </w:r>
      <w:r w:rsidR="00BC048E">
        <w:t xml:space="preserve">in </w:t>
      </w:r>
      <w:r w:rsidR="00BC37EE">
        <w:t>error and</w:t>
      </w:r>
      <w:r w:rsidR="00BC048E">
        <w:t xml:space="preserve"> </w:t>
      </w:r>
      <w:bookmarkEnd w:id="8"/>
      <w:r>
        <w:t>granted</w:t>
      </w:r>
      <w:r w:rsidR="0002474D">
        <w:t xml:space="preserve"> the petition for a writ of mandamus ordering </w:t>
      </w:r>
      <w:bookmarkStart w:id="9" w:name="_Hlk80517748"/>
      <w:r w:rsidR="0002474D">
        <w:t xml:space="preserve">the Secretary to begin notifying claimants of their right to appeal adverse Caregiver Program determinations to the Board of Veterans' Appeals. </w:t>
      </w:r>
      <w:bookmarkEnd w:id="9"/>
    </w:p>
    <w:p w14:paraId="0295186A" w14:textId="0F1A8D43" w:rsidR="008A3E9A" w:rsidRDefault="008A3E9A">
      <w:r>
        <w:t xml:space="preserve">     CAVC also certified a class in this litigation. </w:t>
      </w:r>
      <w:r w:rsidR="00DB126E">
        <w:t xml:space="preserve">The </w:t>
      </w:r>
      <w:proofErr w:type="spellStart"/>
      <w:r w:rsidR="00DB126E">
        <w:t>Beaudette</w:t>
      </w:r>
      <w:proofErr w:type="spellEnd"/>
      <w:r w:rsidR="00DB126E">
        <w:t xml:space="preserve"> class is defined as "All claimants who received an adverse benefits decision under the Caregiver Program, exhausted the administrative review process within the VHA, and have not been afforded the right to appeal to the Board of Veterans' Appeals." CAVC named two parties as class </w:t>
      </w:r>
      <w:proofErr w:type="gramStart"/>
      <w:r w:rsidR="00DB126E">
        <w:t>counsel, and</w:t>
      </w:r>
      <w:proofErr w:type="gramEnd"/>
      <w:r w:rsidR="00DB126E">
        <w:t xml:space="preserve"> ordered that the Board is no longer allowed to deny anyone appeal rights regarding caregiver benefits.</w:t>
      </w:r>
    </w:p>
    <w:p w14:paraId="277D4E09" w14:textId="1F510373" w:rsidR="00457E71" w:rsidRDefault="00457E71">
      <w:r>
        <w:t xml:space="preserve">     One dissenting judge wrote that Congress meant for it to be a medical determination and that removes it from VA jurisdiction, and therefore BVA should not hear appeals and no class action should be allowed, saying that if Congress didn’t intend this, it would have said so long ago.</w:t>
      </w:r>
    </w:p>
    <w:p w14:paraId="3E08B4F0" w14:textId="77777777" w:rsidR="008A3E9A" w:rsidRDefault="008A3E9A"/>
    <w:p w14:paraId="5F78183B" w14:textId="77777777" w:rsidR="00473889" w:rsidRDefault="00473889">
      <w:pPr>
        <w:rPr>
          <w:b/>
          <w:bCs/>
        </w:rPr>
      </w:pPr>
    </w:p>
    <w:p w14:paraId="72218AE9" w14:textId="286FAE22" w:rsidR="0002474D" w:rsidRDefault="007168CC">
      <w:r w:rsidRPr="0066342B">
        <w:rPr>
          <w:b/>
          <w:bCs/>
        </w:rPr>
        <w:t xml:space="preserve">Chavis v. </w:t>
      </w:r>
      <w:proofErr w:type="gramStart"/>
      <w:r w:rsidRPr="0066342B">
        <w:rPr>
          <w:b/>
          <w:bCs/>
        </w:rPr>
        <w:t>McDonough</w:t>
      </w:r>
      <w:r>
        <w:t xml:space="preserve">  Decided</w:t>
      </w:r>
      <w:proofErr w:type="gramEnd"/>
      <w:r>
        <w:t xml:space="preserve"> April 16, 2021</w:t>
      </w:r>
    </w:p>
    <w:p w14:paraId="570FB1EE" w14:textId="1029D19A" w:rsidR="007168CC" w:rsidRDefault="007168CC"/>
    <w:p w14:paraId="18ED4FCA" w14:textId="3A7F6FA3" w:rsidR="00B41676" w:rsidRDefault="00404353" w:rsidP="00B41676">
      <w:r>
        <w:t xml:space="preserve">     </w:t>
      </w:r>
      <w:r w:rsidR="007822B4">
        <w:t xml:space="preserve">Application of the DeLuca factors/flare ups may result in a higher evaluation if a claimant demonstrates functional loss equivalent to that in the higher evaluation. </w:t>
      </w:r>
      <w:r w:rsidR="00BB5BC7">
        <w:t>For example, t</w:t>
      </w:r>
      <w:r w:rsidR="00B41676">
        <w:t>he requirement for ankylosis in the General Rating Formula for the spine can be met by its functional equivalent during a flare up.</w:t>
      </w:r>
      <w:r w:rsidR="00BB5BC7">
        <w:t xml:space="preserve"> </w:t>
      </w:r>
    </w:p>
    <w:p w14:paraId="495C8FA6" w14:textId="494C6AD5" w:rsidR="00500A7D" w:rsidRDefault="00B41676" w:rsidP="00B41676">
      <w:r>
        <w:t xml:space="preserve">     </w:t>
      </w:r>
      <w:r w:rsidR="00404353">
        <w:t xml:space="preserve">Veteran Chavis was in receipt of a spine evaluation of 40% disability with bilateral neuropathy evaluated as 20% disabling on both sides. </w:t>
      </w:r>
      <w:r w:rsidR="007168CC">
        <w:t xml:space="preserve">Chavis testified about the episodic nature of his back and leg </w:t>
      </w:r>
      <w:proofErr w:type="gramStart"/>
      <w:r w:rsidR="007168CC">
        <w:t>symptoms</w:t>
      </w:r>
      <w:r w:rsidR="007822B4">
        <w:t>, and</w:t>
      </w:r>
      <w:proofErr w:type="gramEnd"/>
      <w:r w:rsidR="007822B4">
        <w:t xml:space="preserve"> </w:t>
      </w:r>
      <w:r w:rsidR="00404353">
        <w:t>argue</w:t>
      </w:r>
      <w:r>
        <w:t>d</w:t>
      </w:r>
      <w:r w:rsidR="00404353">
        <w:t xml:space="preserve"> that the VA examinations upon which the Board relied contained insufficient information regarding the extent of his functional loss due to flare-ups. </w:t>
      </w:r>
      <w:r w:rsidR="007168CC">
        <w:t xml:space="preserve">After reviewing the evidence, the Board found that the criteria for an evaluation higher than 40% under either </w:t>
      </w:r>
      <w:r>
        <w:t xml:space="preserve">General Rating Formula or the Formula for Rating IVDS </w:t>
      </w:r>
      <w:r w:rsidR="007168CC">
        <w:t>had not been met</w:t>
      </w:r>
      <w:r w:rsidR="00973597">
        <w:t xml:space="preserve"> without a diagnosis of </w:t>
      </w:r>
      <w:r w:rsidR="00500A7D">
        <w:t>ankylosis</w:t>
      </w:r>
      <w:r w:rsidR="007168CC">
        <w:t>.</w:t>
      </w:r>
      <w:r w:rsidR="007168CC" w:rsidRPr="007168CC">
        <w:t xml:space="preserve"> </w:t>
      </w:r>
      <w:r w:rsidR="00500A7D">
        <w:t xml:space="preserve">Chavis argued that there was functional loss equivalent to ankylosis. </w:t>
      </w:r>
    </w:p>
    <w:p w14:paraId="49D32C2C" w14:textId="5AC4E932" w:rsidR="00500A7D" w:rsidRDefault="00500A7D" w:rsidP="00500A7D">
      <w:r>
        <w:t xml:space="preserve">     VA argue</w:t>
      </w:r>
      <w:r w:rsidR="00EC79B7">
        <w:t>d</w:t>
      </w:r>
      <w:r>
        <w:t xml:space="preserve"> </w:t>
      </w:r>
      <w:r w:rsidR="00D66A63">
        <w:t xml:space="preserve">that </w:t>
      </w:r>
      <w:r>
        <w:t>ankylosis requires something more than limitation of motion, such as physical restriction of motion</w:t>
      </w:r>
      <w:r w:rsidR="00D66A63">
        <w:t xml:space="preserve">. </w:t>
      </w:r>
      <w:bookmarkStart w:id="10" w:name="_Hlk80518027"/>
      <w:r>
        <w:t>Ankylosis is a medical term meaning "</w:t>
      </w:r>
      <w:r w:rsidR="00BC37EE">
        <w:t>i</w:t>
      </w:r>
      <w:r>
        <w:t>mmobility and consolidation of a joint due to disease, injury, or surgical procedure."</w:t>
      </w:r>
      <w:r w:rsidRPr="00500A7D">
        <w:t xml:space="preserve"> </w:t>
      </w:r>
      <w:bookmarkEnd w:id="10"/>
      <w:r>
        <w:t xml:space="preserve">VA is bound to consider </w:t>
      </w:r>
      <w:r w:rsidR="00585254">
        <w:t xml:space="preserve">38 CFR </w:t>
      </w:r>
      <w:r>
        <w:t>4.40 and 4.45 to fully understand the nature of a veteran's disability</w:t>
      </w:r>
      <w:r w:rsidR="00D66A63">
        <w:t xml:space="preserve">, and the </w:t>
      </w:r>
      <w:r>
        <w:t>DeLuca</w:t>
      </w:r>
      <w:r w:rsidR="00D66A63">
        <w:t xml:space="preserve"> </w:t>
      </w:r>
      <w:r w:rsidR="007822B4">
        <w:t>factors</w:t>
      </w:r>
      <w:r>
        <w:t xml:space="preserve"> (</w:t>
      </w:r>
      <w:proofErr w:type="gramStart"/>
      <w:r>
        <w:t>i.e.</w:t>
      </w:r>
      <w:proofErr w:type="gramEnd"/>
      <w:r>
        <w:t xml:space="preserve"> flare ups) must be included in this consideration. 38 CFR 4.40 describes functional disability as the inability to perform normal working movements of the body and 4.45 describes things that limit function in joints</w:t>
      </w:r>
      <w:r w:rsidR="007822B4">
        <w:t>.</w:t>
      </w:r>
      <w:r w:rsidR="00585254">
        <w:t xml:space="preserve"> </w:t>
      </w:r>
      <w:r>
        <w:t>CAVC found that ankylosis</w:t>
      </w:r>
      <w:r w:rsidR="00D66A63">
        <w:t>, like limitation of motion,</w:t>
      </w:r>
      <w:r>
        <w:t xml:space="preserve"> is an objective finding, and not a diagnosis. </w:t>
      </w:r>
      <w:bookmarkStart w:id="11" w:name="_Hlk80518217"/>
      <w:r w:rsidR="00C57CA3">
        <w:t>It</w:t>
      </w:r>
      <w:r>
        <w:t xml:space="preserve"> stated that the Board</w:t>
      </w:r>
      <w:r w:rsidR="00C3564B">
        <w:t xml:space="preserve"> was incorrect when it</w:t>
      </w:r>
      <w:r>
        <w:t xml:space="preserve"> indicated that 4.40 and 4.45 do not apply when the veteran is receiving the maximum allowable </w:t>
      </w:r>
      <w:r w:rsidR="00C57CA3">
        <w:t xml:space="preserve">evaluation </w:t>
      </w:r>
      <w:r>
        <w:t>for a particular DC</w:t>
      </w:r>
      <w:r w:rsidR="00D66A63">
        <w:t xml:space="preserve">, and concluded that </w:t>
      </w:r>
      <w:r w:rsidR="00C57CA3">
        <w:t xml:space="preserve">when considering functional </w:t>
      </w:r>
      <w:r w:rsidR="00C57CA3">
        <w:lastRenderedPageBreak/>
        <w:t xml:space="preserve">limitation, </w:t>
      </w:r>
      <w:r w:rsidR="00D66A63">
        <w:t>a</w:t>
      </w:r>
      <w:bookmarkStart w:id="12" w:name="_Hlk80519297"/>
      <w:bookmarkEnd w:id="11"/>
      <w:r w:rsidR="00D66A63">
        <w:t xml:space="preserve"> veteran may be entitled to a higher musculoskeletal evaluation than would otherwise be supported by mechanical application of a given </w:t>
      </w:r>
      <w:bookmarkEnd w:id="12"/>
      <w:r w:rsidR="00D66A63">
        <w:t>diagnostic code.</w:t>
      </w:r>
    </w:p>
    <w:p w14:paraId="517CF275" w14:textId="7F01246A" w:rsidR="001636DC" w:rsidRDefault="00500A7D">
      <w:r>
        <w:t xml:space="preserve">     On </w:t>
      </w:r>
      <w:r w:rsidR="00BC37EE">
        <w:t>a related</w:t>
      </w:r>
      <w:r>
        <w:t xml:space="preserve"> topic, </w:t>
      </w:r>
      <w:r w:rsidR="001636DC">
        <w:t xml:space="preserve">VA also argued that the Board did not have jurisdiction over the radiculopathy evaluations because Chavis had not provided a timely NOD for these </w:t>
      </w:r>
      <w:r w:rsidR="00D66A63">
        <w:t xml:space="preserve">secondary </w:t>
      </w:r>
      <w:r w:rsidR="001636DC">
        <w:t xml:space="preserve">claims, but CAVC agreed with Chavis that the </w:t>
      </w:r>
      <w:bookmarkStart w:id="13" w:name="_Hlk80519188"/>
      <w:r w:rsidR="001636DC">
        <w:t>radiculopathy evaluations were part of the appeal for increased spine evaluation.</w:t>
      </w:r>
      <w:r w:rsidR="00973597">
        <w:t xml:space="preserve"> </w:t>
      </w:r>
      <w:bookmarkEnd w:id="13"/>
      <w:r w:rsidR="00BC37EE">
        <w:t>A d</w:t>
      </w:r>
      <w:r w:rsidR="00973597">
        <w:t xml:space="preserve">issenting opinion was </w:t>
      </w:r>
      <w:r w:rsidR="00BC37EE">
        <w:t xml:space="preserve">raised </w:t>
      </w:r>
      <w:r w:rsidR="00973597">
        <w:t xml:space="preserve">only on this point, arguing that the Board did not have jurisdiction over radiculopathy because it had not been diagnosed at the time of the decision that was appealed. Chavis had complained of numbness at that </w:t>
      </w:r>
      <w:proofErr w:type="gramStart"/>
      <w:r w:rsidR="00973597">
        <w:t>time</w:t>
      </w:r>
      <w:proofErr w:type="gramEnd"/>
      <w:r w:rsidR="00973597">
        <w:t xml:space="preserve"> however. </w:t>
      </w:r>
    </w:p>
    <w:p w14:paraId="69DEE21A" w14:textId="2694F95B" w:rsidR="00473889" w:rsidRDefault="00473889"/>
    <w:p w14:paraId="3C2EDFD7" w14:textId="6D4E1564" w:rsidR="00473889" w:rsidRDefault="00473889"/>
    <w:p w14:paraId="2340C96C" w14:textId="7FED3D67" w:rsidR="007168CC" w:rsidRDefault="00AD455B">
      <w:r w:rsidRPr="00AD455B">
        <w:rPr>
          <w:b/>
          <w:bCs/>
        </w:rPr>
        <w:t>Landon v. McDonough</w:t>
      </w:r>
      <w:r>
        <w:t xml:space="preserve">   Decided by Court of Appeals for the Federal Court (CAFC) on June 9, 2021</w:t>
      </w:r>
    </w:p>
    <w:p w14:paraId="6C52AB11" w14:textId="104E5954" w:rsidR="00E20171" w:rsidRDefault="00E20171"/>
    <w:p w14:paraId="64082AD0" w14:textId="77777777" w:rsidR="00EA7D5B" w:rsidRDefault="002D4C58">
      <w:r>
        <w:t xml:space="preserve">     </w:t>
      </w:r>
      <w:r w:rsidR="00611B94">
        <w:t xml:space="preserve">This appeal </w:t>
      </w:r>
      <w:r w:rsidR="00EA7D5B">
        <w:t>determined that</w:t>
      </w:r>
      <w:r w:rsidR="00611B94">
        <w:t xml:space="preserve"> the VA’s own regulation requires it to treat the thoracolumbar spine as a unit when applying the General Rating Formula. </w:t>
      </w:r>
      <w:r>
        <w:t xml:space="preserve">Veteran Landon had a </w:t>
      </w:r>
      <w:proofErr w:type="gramStart"/>
      <w:r>
        <w:t>service connected</w:t>
      </w:r>
      <w:proofErr w:type="gramEnd"/>
      <w:r>
        <w:t xml:space="preserve"> thoracic spine injury </w:t>
      </w:r>
      <w:r w:rsidR="00717CED">
        <w:t>and</w:t>
      </w:r>
      <w:r>
        <w:t xml:space="preserve"> an additional injury of the lumbar spine determined to be </w:t>
      </w:r>
      <w:r w:rsidR="00717CED">
        <w:t>non-service</w:t>
      </w:r>
      <w:r>
        <w:t xml:space="preserve"> connected. </w:t>
      </w:r>
      <w:r w:rsidR="00611B94">
        <w:t>Medical evaluation determined that the source of compensable symptoms was due to the lumbar section, and therefore VA provided an evaluation of only 10% for pain</w:t>
      </w:r>
      <w:r w:rsidR="007C3EC5">
        <w:t xml:space="preserve"> in the thoracic section</w:t>
      </w:r>
      <w:r w:rsidR="00611B94">
        <w:t>. CAVC upheld this decision</w:t>
      </w:r>
      <w:r w:rsidR="00717CED">
        <w:t xml:space="preserve"> from BVA</w:t>
      </w:r>
      <w:r w:rsidR="00611B94">
        <w:t xml:space="preserve">. </w:t>
      </w:r>
    </w:p>
    <w:p w14:paraId="0056C906" w14:textId="502252C0" w:rsidR="00AD455B" w:rsidRDefault="00EA7D5B">
      <w:pPr>
        <w:rPr>
          <w:rFonts w:cstheme="minorHAnsi"/>
        </w:rPr>
      </w:pPr>
      <w:r>
        <w:t xml:space="preserve">     </w:t>
      </w:r>
      <w:r w:rsidR="00AD455B">
        <w:t xml:space="preserve">CAFC ruled that the CAVC finding was based on a misinterpretation of controlling regulations. </w:t>
      </w:r>
      <w:r w:rsidR="002D4C58">
        <w:t xml:space="preserve">CAFC pointed out that range of motion plates </w:t>
      </w:r>
      <w:r>
        <w:t>included</w:t>
      </w:r>
      <w:r w:rsidR="002D4C58">
        <w:t xml:space="preserve"> the entire </w:t>
      </w:r>
      <w:r>
        <w:t xml:space="preserve">thoracolumbar </w:t>
      </w:r>
      <w:r w:rsidR="002D4C58">
        <w:t>spine</w:t>
      </w:r>
      <w:r>
        <w:t xml:space="preserve"> in measurements of range of motion,</w:t>
      </w:r>
      <w:r w:rsidR="002D4C58">
        <w:t xml:space="preserve"> </w:t>
      </w:r>
      <w:proofErr w:type="gramStart"/>
      <w:r w:rsidR="002D4C58">
        <w:t>and also</w:t>
      </w:r>
      <w:proofErr w:type="gramEnd"/>
      <w:r w:rsidR="002D4C58">
        <w:t xml:space="preserve"> that 38 CFR 4.71a had been re-written in 2003 to eliminate separate considerations of thoracic and lumbar spine sections</w:t>
      </w:r>
      <w:r w:rsidR="00611B94">
        <w:t xml:space="preserve"> because VA said these two sections normally move together as a unit</w:t>
      </w:r>
      <w:r w:rsidR="002D4C58">
        <w:t>.</w:t>
      </w:r>
      <w:r w:rsidR="00611B94">
        <w:t xml:space="preserve"> Therefore, </w:t>
      </w:r>
      <w:r>
        <w:t xml:space="preserve">CAFC argued that </w:t>
      </w:r>
      <w:r w:rsidR="00611B94">
        <w:t>once VA granted service connection</w:t>
      </w:r>
      <w:r w:rsidR="007822B4">
        <w:t xml:space="preserve"> for any portion of the thoracolumbar spine</w:t>
      </w:r>
      <w:r w:rsidR="00611B94">
        <w:t>, they were saying in essence that</w:t>
      </w:r>
      <w:r>
        <w:t>, due to the difficulty in separating symptoms,</w:t>
      </w:r>
      <w:r w:rsidR="00611B94">
        <w:t xml:space="preserve"> the whole unit was service connected. </w:t>
      </w:r>
      <w:r w:rsidR="00717CED">
        <w:t>D</w:t>
      </w:r>
      <w:r w:rsidR="00611B94">
        <w:t xml:space="preserve">etermining evaluation is a downstream issue </w:t>
      </w:r>
      <w:r w:rsidR="00E75F46">
        <w:t xml:space="preserve">that should not concern itself with what is service connected or </w:t>
      </w:r>
      <w:proofErr w:type="gramStart"/>
      <w:r w:rsidR="00E75F46">
        <w:t>not, and</w:t>
      </w:r>
      <w:proofErr w:type="gramEnd"/>
      <w:r w:rsidR="00E75F46">
        <w:t xml:space="preserve"> must assume that the evaluation applies to the entire thoracolumbar spine</w:t>
      </w:r>
      <w:r w:rsidR="00611B94" w:rsidRPr="00C16E29">
        <w:rPr>
          <w:rFonts w:cstheme="minorHAnsi"/>
        </w:rPr>
        <w:t xml:space="preserve">. </w:t>
      </w:r>
    </w:p>
    <w:p w14:paraId="4FCD7EA5" w14:textId="19805330" w:rsidR="00D01B4D" w:rsidRDefault="00D01B4D">
      <w:pPr>
        <w:rPr>
          <w:rFonts w:cstheme="minorHAnsi"/>
        </w:rPr>
      </w:pPr>
    </w:p>
    <w:p w14:paraId="19E74C88" w14:textId="75A0EBBF" w:rsidR="00D01B4D" w:rsidRDefault="00D01B4D" w:rsidP="00D01B4D">
      <w:r>
        <w:rPr>
          <w:b/>
          <w:bCs/>
        </w:rPr>
        <w:t>Military-Veterans Advocacy</w:t>
      </w:r>
      <w:r w:rsidRPr="00AD455B">
        <w:rPr>
          <w:b/>
          <w:bCs/>
        </w:rPr>
        <w:t xml:space="preserve"> v. </w:t>
      </w:r>
      <w:r>
        <w:rPr>
          <w:b/>
          <w:bCs/>
        </w:rPr>
        <w:t>Secretary of Veterans Affairs</w:t>
      </w:r>
      <w:r>
        <w:t xml:space="preserve"> </w:t>
      </w:r>
      <w:proofErr w:type="gramStart"/>
      <w:r>
        <w:t xml:space="preserve">   (</w:t>
      </w:r>
      <w:proofErr w:type="gramEnd"/>
      <w:r>
        <w:t xml:space="preserve">CAFC) </w:t>
      </w:r>
      <w:r w:rsidR="00CD14C1">
        <w:t>Decided</w:t>
      </w:r>
      <w:r>
        <w:t xml:space="preserve"> July 30, 2021</w:t>
      </w:r>
    </w:p>
    <w:p w14:paraId="307A0380" w14:textId="753925B6" w:rsidR="004E2197" w:rsidRDefault="004E2197" w:rsidP="00D01B4D">
      <w:r>
        <w:t>Petitioners included in “Military-Veterans Advocacy</w:t>
      </w:r>
      <w:r w:rsidR="00622E91">
        <w:t xml:space="preserve"> (MVA)</w:t>
      </w:r>
      <w:r>
        <w:t>” are: National Organization of Veterans’ Advocates, Inc. (NOVA), Paralyzed Veterans of America (PVA), Carpenter Chartered</w:t>
      </w:r>
      <w:r w:rsidR="00FB4A1C">
        <w:t xml:space="preserve"> (Law Offices)</w:t>
      </w:r>
      <w:r>
        <w:t xml:space="preserve">, and Phillip Boyd </w:t>
      </w:r>
      <w:proofErr w:type="spellStart"/>
      <w:r>
        <w:t>Haisley</w:t>
      </w:r>
      <w:proofErr w:type="spellEnd"/>
      <w:r>
        <w:t xml:space="preserve"> of National Veterans Legal Services Program</w:t>
      </w:r>
      <w:r w:rsidR="00FB4A1C">
        <w:t xml:space="preserve"> (NVLSP)</w:t>
      </w:r>
      <w:r>
        <w:t>.</w:t>
      </w:r>
    </w:p>
    <w:p w14:paraId="596FAABD" w14:textId="77777777" w:rsidR="00D01B4D" w:rsidRDefault="00D01B4D" w:rsidP="00D01B4D"/>
    <w:p w14:paraId="6B042AB5" w14:textId="10F296FF" w:rsidR="00D01B4D" w:rsidRPr="00C16E29" w:rsidRDefault="00D01B4D" w:rsidP="00D01B4D">
      <w:pPr>
        <w:rPr>
          <w:rFonts w:cstheme="minorHAnsi"/>
        </w:rPr>
      </w:pPr>
      <w:r>
        <w:t xml:space="preserve">     </w:t>
      </w:r>
      <w:r w:rsidR="00580EB4">
        <w:t xml:space="preserve">Under the </w:t>
      </w:r>
      <w:r w:rsidR="00D3604B">
        <w:t>Veterans Appeals Improvement and Modernization Act of 2017 (AMA)</w:t>
      </w:r>
      <w:r w:rsidR="00580EB4">
        <w:t>, claimants may now choose between three options after receiving an unfavorable decision: 1) supplemental claim based on new and material evidence</w:t>
      </w:r>
      <w:r w:rsidR="006A7A85">
        <w:t xml:space="preserve"> (replaces the legacy reopen claim)</w:t>
      </w:r>
      <w:r w:rsidR="00580EB4">
        <w:t>, 2) higher-level review based on evidence of record, or 3) file a NOD directly with BVA.</w:t>
      </w:r>
    </w:p>
    <w:p w14:paraId="282B6E02" w14:textId="2F36BF20" w:rsidR="00945C5B" w:rsidRDefault="00580EB4" w:rsidP="00357F2F">
      <w:pPr>
        <w:contextualSpacing/>
        <w:rPr>
          <w:rFonts w:cstheme="minorHAnsi"/>
        </w:rPr>
      </w:pPr>
      <w:r>
        <w:rPr>
          <w:rFonts w:cstheme="minorHAnsi"/>
        </w:rPr>
        <w:t xml:space="preserve">     CAFC found that three regulations </w:t>
      </w:r>
      <w:r w:rsidR="00622E91">
        <w:rPr>
          <w:rFonts w:cstheme="minorHAnsi"/>
        </w:rPr>
        <w:t>challenged by</w:t>
      </w:r>
      <w:r>
        <w:rPr>
          <w:rFonts w:cstheme="minorHAnsi"/>
        </w:rPr>
        <w:t xml:space="preserve"> MVA are invalid for </w:t>
      </w:r>
      <w:r w:rsidR="00B43C54">
        <w:rPr>
          <w:rFonts w:cstheme="minorHAnsi"/>
        </w:rPr>
        <w:t>going against and confusing the</w:t>
      </w:r>
      <w:r>
        <w:rPr>
          <w:rFonts w:cstheme="minorHAnsi"/>
        </w:rPr>
        <w:t xml:space="preserve"> meaning of </w:t>
      </w:r>
      <w:r w:rsidR="00B3316D">
        <w:rPr>
          <w:rFonts w:cstheme="minorHAnsi"/>
        </w:rPr>
        <w:t>VA</w:t>
      </w:r>
      <w:r>
        <w:rPr>
          <w:rFonts w:cstheme="minorHAnsi"/>
        </w:rPr>
        <w:t xml:space="preserve"> governing statutory provisions. </w:t>
      </w:r>
    </w:p>
    <w:p w14:paraId="1A1C9089" w14:textId="1E01D9B4" w:rsidR="00357F2F" w:rsidRPr="00357F2F" w:rsidRDefault="00357F2F" w:rsidP="006E456A">
      <w:pPr>
        <w:pStyle w:val="ListParagraph"/>
        <w:numPr>
          <w:ilvl w:val="0"/>
          <w:numId w:val="2"/>
        </w:numPr>
        <w:rPr>
          <w:rFonts w:cstheme="minorHAnsi"/>
        </w:rPr>
      </w:pPr>
      <w:r w:rsidRPr="00622E91">
        <w:rPr>
          <w:rFonts w:cstheme="minorHAnsi"/>
        </w:rPr>
        <w:t>38 CFR 14.636(c)(1)(</w:t>
      </w:r>
      <w:proofErr w:type="spellStart"/>
      <w:r w:rsidRPr="00622E91">
        <w:rPr>
          <w:rFonts w:cstheme="minorHAnsi"/>
        </w:rPr>
        <w:t>i</w:t>
      </w:r>
      <w:proofErr w:type="spellEnd"/>
      <w:r w:rsidRPr="00622E91">
        <w:rPr>
          <w:rFonts w:cstheme="minorHAnsi"/>
        </w:rPr>
        <w:t>) limit</w:t>
      </w:r>
      <w:r w:rsidR="00B3316D" w:rsidRPr="00622E91">
        <w:rPr>
          <w:rFonts w:cstheme="minorHAnsi"/>
        </w:rPr>
        <w:t>ed</w:t>
      </w:r>
      <w:r w:rsidRPr="00622E91">
        <w:rPr>
          <w:rFonts w:cstheme="minorHAnsi"/>
        </w:rPr>
        <w:t xml:space="preserve"> when a veteran’s representative may charge fees for work on supplemental claims. </w:t>
      </w:r>
      <w:r w:rsidR="00B3316D" w:rsidRPr="00622E91">
        <w:rPr>
          <w:rFonts w:cstheme="minorHAnsi"/>
        </w:rPr>
        <w:t xml:space="preserve">The triggering event for which attorneys were allowed to begin charging fees was receipt of the letter notifying veterans of original decision from Area of Original Jurisdiction (AOJ). But if veteran waited more than one year to begin her supplemental claim, an attorney could not legally charge fees for work on that claim, since it </w:t>
      </w:r>
      <w:r w:rsidR="00B3316D" w:rsidRPr="00622E91">
        <w:rPr>
          <w:rFonts w:cstheme="minorHAnsi"/>
        </w:rPr>
        <w:lastRenderedPageBreak/>
        <w:t xml:space="preserve">would be considered a new claim, and the AOJ had not yet issued a letter. </w:t>
      </w:r>
      <w:r w:rsidR="00622E91">
        <w:rPr>
          <w:rFonts w:cstheme="minorHAnsi"/>
        </w:rPr>
        <w:t>Attorneys may now charge fees beginning when the supplemental claim is filed</w:t>
      </w:r>
      <w:r w:rsidR="00096779">
        <w:rPr>
          <w:rFonts w:cstheme="minorHAnsi"/>
        </w:rPr>
        <w:t>, regardless of date</w:t>
      </w:r>
      <w:r w:rsidR="00622E91">
        <w:rPr>
          <w:rFonts w:cstheme="minorHAnsi"/>
        </w:rPr>
        <w:t>.</w:t>
      </w:r>
    </w:p>
    <w:p w14:paraId="16E1B7CE" w14:textId="53F00822" w:rsidR="00F4590F" w:rsidRPr="00622E91" w:rsidRDefault="00580EB4" w:rsidP="00622E91">
      <w:pPr>
        <w:pStyle w:val="ListParagraph"/>
        <w:numPr>
          <w:ilvl w:val="0"/>
          <w:numId w:val="2"/>
        </w:numPr>
        <w:rPr>
          <w:rFonts w:cstheme="minorHAnsi"/>
        </w:rPr>
      </w:pPr>
      <w:r w:rsidRPr="00B43C54">
        <w:rPr>
          <w:rFonts w:cstheme="minorHAnsi"/>
        </w:rPr>
        <w:t>38 CFR 3.2500(b) bar</w:t>
      </w:r>
      <w:r w:rsidR="00622E91">
        <w:rPr>
          <w:rFonts w:cstheme="minorHAnsi"/>
        </w:rPr>
        <w:t>red</w:t>
      </w:r>
      <w:r w:rsidRPr="00B43C54">
        <w:rPr>
          <w:rFonts w:cstheme="minorHAnsi"/>
        </w:rPr>
        <w:t xml:space="preserve"> the filing of a supplemental claim when adjudication of the same claim </w:t>
      </w:r>
      <w:r w:rsidR="00622E91">
        <w:rPr>
          <w:rFonts w:cstheme="minorHAnsi"/>
        </w:rPr>
        <w:t>wa</w:t>
      </w:r>
      <w:r w:rsidRPr="00B43C54">
        <w:rPr>
          <w:rFonts w:cstheme="minorHAnsi"/>
        </w:rPr>
        <w:t xml:space="preserve">s pending before a federal court. </w:t>
      </w:r>
      <w:r w:rsidR="00622E91">
        <w:rPr>
          <w:rFonts w:cstheme="minorHAnsi"/>
        </w:rPr>
        <w:t xml:space="preserve">This forced a veteran to make the choice between appealing to a higher </w:t>
      </w:r>
      <w:proofErr w:type="gramStart"/>
      <w:r w:rsidR="00622E91">
        <w:rPr>
          <w:rFonts w:cstheme="minorHAnsi"/>
        </w:rPr>
        <w:t>court, or</w:t>
      </w:r>
      <w:proofErr w:type="gramEnd"/>
      <w:r w:rsidR="00622E91">
        <w:rPr>
          <w:rFonts w:cstheme="minorHAnsi"/>
        </w:rPr>
        <w:t xml:space="preserve"> making a supplemental claim. </w:t>
      </w:r>
      <w:r w:rsidR="00945C5B" w:rsidRPr="00B43C54">
        <w:rPr>
          <w:rFonts w:cstheme="minorHAnsi"/>
        </w:rPr>
        <w:t>Example: Clarence Noble had a pending appeal when he received new and material evidence. Under 3.25</w:t>
      </w:r>
      <w:r w:rsidR="001D665D">
        <w:rPr>
          <w:rFonts w:cstheme="minorHAnsi"/>
        </w:rPr>
        <w:t>00</w:t>
      </w:r>
      <w:r w:rsidR="00945C5B" w:rsidRPr="00B43C54">
        <w:rPr>
          <w:rFonts w:cstheme="minorHAnsi"/>
        </w:rPr>
        <w:t xml:space="preserve"> Mr. Noble was barred from filing a supplemental claim, because of his pending appeal, </w:t>
      </w:r>
      <w:proofErr w:type="gramStart"/>
      <w:r w:rsidR="00945C5B" w:rsidRPr="00B43C54">
        <w:rPr>
          <w:rFonts w:cstheme="minorHAnsi"/>
        </w:rPr>
        <w:t>and also</w:t>
      </w:r>
      <w:proofErr w:type="gramEnd"/>
      <w:r w:rsidR="00945C5B" w:rsidRPr="00B43C54">
        <w:rPr>
          <w:rFonts w:cstheme="minorHAnsi"/>
        </w:rPr>
        <w:t xml:space="preserve"> barred from submitting the evidence as part of the appeal. This prevented him from timely applying for and receiving benefits based on the new evidence.</w:t>
      </w:r>
      <w:r w:rsidR="00F36285">
        <w:rPr>
          <w:rFonts w:cstheme="minorHAnsi"/>
        </w:rPr>
        <w:t xml:space="preserve"> </w:t>
      </w:r>
      <w:r w:rsidR="001D665D">
        <w:rPr>
          <w:rFonts w:cstheme="minorHAnsi"/>
        </w:rPr>
        <w:t>A claimant whose claim is before a federal court (CAVC, CAFC, Supreme Court</w:t>
      </w:r>
      <w:r w:rsidR="00D3604B">
        <w:t xml:space="preserve">) </w:t>
      </w:r>
      <w:r w:rsidR="001D665D">
        <w:rPr>
          <w:rFonts w:cstheme="minorHAnsi"/>
        </w:rPr>
        <w:t xml:space="preserve">may </w:t>
      </w:r>
      <w:r w:rsidR="00622E91">
        <w:rPr>
          <w:rFonts w:cstheme="minorHAnsi"/>
        </w:rPr>
        <w:t xml:space="preserve">now </w:t>
      </w:r>
      <w:r w:rsidR="001D665D">
        <w:rPr>
          <w:rFonts w:cstheme="minorHAnsi"/>
        </w:rPr>
        <w:t>submit a supplemental claim regarding the same issue.</w:t>
      </w:r>
    </w:p>
    <w:p w14:paraId="4114CC2D" w14:textId="0056D635" w:rsidR="00E16721" w:rsidRPr="00E16721" w:rsidRDefault="00E70746" w:rsidP="00E16721">
      <w:pPr>
        <w:pStyle w:val="ListParagraph"/>
        <w:numPr>
          <w:ilvl w:val="0"/>
          <w:numId w:val="2"/>
        </w:numPr>
        <w:rPr>
          <w:rFonts w:cstheme="minorHAnsi"/>
        </w:rPr>
      </w:pPr>
      <w:r w:rsidRPr="00096779">
        <w:rPr>
          <w:rFonts w:cstheme="minorHAnsi"/>
        </w:rPr>
        <w:t xml:space="preserve">38 </w:t>
      </w:r>
      <w:r w:rsidR="00580EB4" w:rsidRPr="00096779">
        <w:rPr>
          <w:rFonts w:cstheme="minorHAnsi"/>
        </w:rPr>
        <w:t>CFR 3.155 exclude</w:t>
      </w:r>
      <w:r w:rsidR="00096779" w:rsidRPr="00096779">
        <w:rPr>
          <w:rFonts w:cstheme="minorHAnsi"/>
        </w:rPr>
        <w:t>d</w:t>
      </w:r>
      <w:r w:rsidR="00580EB4" w:rsidRPr="00096779">
        <w:rPr>
          <w:rFonts w:cstheme="minorHAnsi"/>
        </w:rPr>
        <w:t xml:space="preserve"> supplemental claims from the intent-to-file </w:t>
      </w:r>
      <w:r w:rsidR="005A7202">
        <w:rPr>
          <w:rFonts w:cstheme="minorHAnsi"/>
        </w:rPr>
        <w:t xml:space="preserve">(ITF) </w:t>
      </w:r>
      <w:r w:rsidR="00580EB4" w:rsidRPr="00096779">
        <w:rPr>
          <w:rFonts w:cstheme="minorHAnsi"/>
        </w:rPr>
        <w:t>framework.</w:t>
      </w:r>
      <w:r w:rsidR="00945C5B" w:rsidRPr="00096779">
        <w:rPr>
          <w:rFonts w:cstheme="minorHAnsi"/>
        </w:rPr>
        <w:t xml:space="preserve"> </w:t>
      </w:r>
      <w:r w:rsidR="00096779" w:rsidRPr="00096779">
        <w:rPr>
          <w:rFonts w:cstheme="minorHAnsi"/>
        </w:rPr>
        <w:t xml:space="preserve">The Court found that 3.155’s exclusion of supplemental claims from the intent to file framework is arbitrary and capricious. </w:t>
      </w:r>
      <w:r w:rsidR="00945C5B" w:rsidRPr="00096779">
        <w:rPr>
          <w:rFonts w:cstheme="minorHAnsi"/>
        </w:rPr>
        <w:t xml:space="preserve">Example: Stephen Schwenker submitted an ITF in anticipation of submitting a formal supplemental claim, which he eventually </w:t>
      </w:r>
      <w:r w:rsidR="005A7202">
        <w:rPr>
          <w:rFonts w:cstheme="minorHAnsi"/>
        </w:rPr>
        <w:t>submitted</w:t>
      </w:r>
      <w:r w:rsidR="00945C5B" w:rsidRPr="00096779">
        <w:rPr>
          <w:rFonts w:cstheme="minorHAnsi"/>
        </w:rPr>
        <w:t xml:space="preserve"> and was granted service connection. However, the effective date granted was that of receipt of his formal claim and not the date of the ITF.</w:t>
      </w:r>
      <w:r w:rsidR="00096779" w:rsidRPr="00096779">
        <w:rPr>
          <w:rFonts w:cstheme="minorHAnsi"/>
        </w:rPr>
        <w:t xml:space="preserve"> </w:t>
      </w:r>
      <w:r w:rsidR="00D3604B">
        <w:t xml:space="preserve">An ITF filed within one year of a VA decision </w:t>
      </w:r>
      <w:r w:rsidR="00E16721">
        <w:t xml:space="preserve">can </w:t>
      </w:r>
      <w:r w:rsidR="00D3604B">
        <w:t>maintain continuous pursuit</w:t>
      </w:r>
      <w:r w:rsidR="00E16721">
        <w:t xml:space="preserve">, and if not filed within one year can hold an effective date if the </w:t>
      </w:r>
      <w:r w:rsidR="0054002B">
        <w:t xml:space="preserve">formal </w:t>
      </w:r>
      <w:r w:rsidR="00D3604B">
        <w:t>supplemental claim</w:t>
      </w:r>
      <w:r w:rsidR="0054002B">
        <w:t xml:space="preserve"> (526)</w:t>
      </w:r>
      <w:r w:rsidR="00E16721">
        <w:t xml:space="preserve"> is filed within a year.</w:t>
      </w:r>
    </w:p>
    <w:p w14:paraId="71FD6468" w14:textId="77777777" w:rsidR="00E16721" w:rsidRDefault="00E16721" w:rsidP="00E16721">
      <w:pPr>
        <w:rPr>
          <w:rFonts w:cstheme="minorHAnsi"/>
        </w:rPr>
      </w:pPr>
    </w:p>
    <w:p w14:paraId="76880D39" w14:textId="7234E335" w:rsidR="00196976" w:rsidRPr="00E16721" w:rsidRDefault="00196976" w:rsidP="00E16721">
      <w:pPr>
        <w:rPr>
          <w:rFonts w:cstheme="minorHAnsi"/>
        </w:rPr>
      </w:pPr>
      <w:r w:rsidRPr="00E16721">
        <w:rPr>
          <w:rFonts w:cstheme="minorHAnsi"/>
        </w:rPr>
        <w:t xml:space="preserve">     </w:t>
      </w:r>
    </w:p>
    <w:p w14:paraId="793A7327" w14:textId="2B452157" w:rsidR="00F0299C" w:rsidRPr="00C16E29" w:rsidRDefault="00F0299C" w:rsidP="00F0299C">
      <w:pPr>
        <w:rPr>
          <w:rFonts w:cstheme="minorHAnsi"/>
        </w:rPr>
      </w:pPr>
    </w:p>
    <w:sectPr w:rsidR="00F0299C" w:rsidRPr="00C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D6"/>
    <w:multiLevelType w:val="hybridMultilevel"/>
    <w:tmpl w:val="FE7A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15AA0"/>
    <w:multiLevelType w:val="hybridMultilevel"/>
    <w:tmpl w:val="E0605682"/>
    <w:lvl w:ilvl="0" w:tplc="49C0A0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0"/>
    <w:rsid w:val="00023CA2"/>
    <w:rsid w:val="0002474D"/>
    <w:rsid w:val="00027A0E"/>
    <w:rsid w:val="000542DD"/>
    <w:rsid w:val="000905B3"/>
    <w:rsid w:val="00096779"/>
    <w:rsid w:val="001636DC"/>
    <w:rsid w:val="00196976"/>
    <w:rsid w:val="001D665D"/>
    <w:rsid w:val="002D4C58"/>
    <w:rsid w:val="002D67E1"/>
    <w:rsid w:val="002D680B"/>
    <w:rsid w:val="002F4EC6"/>
    <w:rsid w:val="00314545"/>
    <w:rsid w:val="00357F2F"/>
    <w:rsid w:val="00393C21"/>
    <w:rsid w:val="003E60A3"/>
    <w:rsid w:val="003F7558"/>
    <w:rsid w:val="00404353"/>
    <w:rsid w:val="00405A5B"/>
    <w:rsid w:val="004436E3"/>
    <w:rsid w:val="00457E71"/>
    <w:rsid w:val="00473889"/>
    <w:rsid w:val="00480739"/>
    <w:rsid w:val="004E2197"/>
    <w:rsid w:val="004E5194"/>
    <w:rsid w:val="004F0A75"/>
    <w:rsid w:val="00500A7D"/>
    <w:rsid w:val="00504CF6"/>
    <w:rsid w:val="00520DD5"/>
    <w:rsid w:val="0054002B"/>
    <w:rsid w:val="00580EB4"/>
    <w:rsid w:val="00585254"/>
    <w:rsid w:val="00587990"/>
    <w:rsid w:val="005A6A70"/>
    <w:rsid w:val="005A7202"/>
    <w:rsid w:val="005C2EEC"/>
    <w:rsid w:val="005C3ADA"/>
    <w:rsid w:val="005D74F4"/>
    <w:rsid w:val="00605A3A"/>
    <w:rsid w:val="00611B94"/>
    <w:rsid w:val="0061484E"/>
    <w:rsid w:val="00622E91"/>
    <w:rsid w:val="0066342B"/>
    <w:rsid w:val="006A7A85"/>
    <w:rsid w:val="00710BC7"/>
    <w:rsid w:val="007168CC"/>
    <w:rsid w:val="00717CED"/>
    <w:rsid w:val="007530E9"/>
    <w:rsid w:val="00761D78"/>
    <w:rsid w:val="007822B4"/>
    <w:rsid w:val="007C3EC5"/>
    <w:rsid w:val="00812509"/>
    <w:rsid w:val="00826C3A"/>
    <w:rsid w:val="00897590"/>
    <w:rsid w:val="008A3E9A"/>
    <w:rsid w:val="008B56A5"/>
    <w:rsid w:val="008D23DD"/>
    <w:rsid w:val="008F6C27"/>
    <w:rsid w:val="00945C5B"/>
    <w:rsid w:val="009606E4"/>
    <w:rsid w:val="00973597"/>
    <w:rsid w:val="009E03F0"/>
    <w:rsid w:val="00A5157C"/>
    <w:rsid w:val="00A73A1F"/>
    <w:rsid w:val="00AD455B"/>
    <w:rsid w:val="00B3316D"/>
    <w:rsid w:val="00B41676"/>
    <w:rsid w:val="00B43C54"/>
    <w:rsid w:val="00B52DF2"/>
    <w:rsid w:val="00B91550"/>
    <w:rsid w:val="00BB5BC7"/>
    <w:rsid w:val="00BC048E"/>
    <w:rsid w:val="00BC37EE"/>
    <w:rsid w:val="00BD3C15"/>
    <w:rsid w:val="00BE55A6"/>
    <w:rsid w:val="00C16E29"/>
    <w:rsid w:val="00C3564B"/>
    <w:rsid w:val="00C4106D"/>
    <w:rsid w:val="00C47EDB"/>
    <w:rsid w:val="00C57CA3"/>
    <w:rsid w:val="00CB0700"/>
    <w:rsid w:val="00CD14C1"/>
    <w:rsid w:val="00CE45EB"/>
    <w:rsid w:val="00D01B4D"/>
    <w:rsid w:val="00D01C65"/>
    <w:rsid w:val="00D227A6"/>
    <w:rsid w:val="00D3604B"/>
    <w:rsid w:val="00D60384"/>
    <w:rsid w:val="00D66A63"/>
    <w:rsid w:val="00D97AC0"/>
    <w:rsid w:val="00DB126E"/>
    <w:rsid w:val="00DF29FF"/>
    <w:rsid w:val="00E16721"/>
    <w:rsid w:val="00E20171"/>
    <w:rsid w:val="00E70746"/>
    <w:rsid w:val="00E74BFE"/>
    <w:rsid w:val="00E75F46"/>
    <w:rsid w:val="00EA7D5B"/>
    <w:rsid w:val="00EC79B7"/>
    <w:rsid w:val="00F0299C"/>
    <w:rsid w:val="00F20290"/>
    <w:rsid w:val="00F32888"/>
    <w:rsid w:val="00F36285"/>
    <w:rsid w:val="00F4590F"/>
    <w:rsid w:val="00F60676"/>
    <w:rsid w:val="00F67EE3"/>
    <w:rsid w:val="00FB4A1C"/>
    <w:rsid w:val="00FC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4D47"/>
  <w15:chartTrackingRefBased/>
  <w15:docId w15:val="{84979DD8-8C86-4AF3-B7B2-52AF01E8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6487">
      <w:bodyDiv w:val="1"/>
      <w:marLeft w:val="0"/>
      <w:marRight w:val="0"/>
      <w:marTop w:val="0"/>
      <w:marBottom w:val="0"/>
      <w:divBdr>
        <w:top w:val="none" w:sz="0" w:space="0" w:color="auto"/>
        <w:left w:val="none" w:sz="0" w:space="0" w:color="auto"/>
        <w:bottom w:val="none" w:sz="0" w:space="0" w:color="auto"/>
        <w:right w:val="none" w:sz="0" w:space="0" w:color="auto"/>
      </w:divBdr>
      <w:divsChild>
        <w:div w:id="298146650">
          <w:marLeft w:val="0"/>
          <w:marRight w:val="0"/>
          <w:marTop w:val="0"/>
          <w:marBottom w:val="0"/>
          <w:divBdr>
            <w:top w:val="none" w:sz="0" w:space="0" w:color="auto"/>
            <w:left w:val="none" w:sz="0" w:space="0" w:color="auto"/>
            <w:bottom w:val="none" w:sz="0" w:space="0" w:color="auto"/>
            <w:right w:val="none" w:sz="0" w:space="0" w:color="auto"/>
          </w:divBdr>
        </w:div>
        <w:div w:id="1839617718">
          <w:marLeft w:val="0"/>
          <w:marRight w:val="0"/>
          <w:marTop w:val="0"/>
          <w:marBottom w:val="0"/>
          <w:divBdr>
            <w:top w:val="none" w:sz="0" w:space="0" w:color="auto"/>
            <w:left w:val="none" w:sz="0" w:space="0" w:color="auto"/>
            <w:bottom w:val="none" w:sz="0" w:space="0" w:color="auto"/>
            <w:right w:val="none" w:sz="0" w:space="0" w:color="auto"/>
          </w:divBdr>
        </w:div>
        <w:div w:id="659577760">
          <w:marLeft w:val="0"/>
          <w:marRight w:val="0"/>
          <w:marTop w:val="0"/>
          <w:marBottom w:val="0"/>
          <w:divBdr>
            <w:top w:val="none" w:sz="0" w:space="0" w:color="auto"/>
            <w:left w:val="none" w:sz="0" w:space="0" w:color="auto"/>
            <w:bottom w:val="none" w:sz="0" w:space="0" w:color="auto"/>
            <w:right w:val="none" w:sz="0" w:space="0" w:color="auto"/>
          </w:divBdr>
        </w:div>
        <w:div w:id="484516623">
          <w:marLeft w:val="0"/>
          <w:marRight w:val="0"/>
          <w:marTop w:val="0"/>
          <w:marBottom w:val="0"/>
          <w:divBdr>
            <w:top w:val="none" w:sz="0" w:space="0" w:color="auto"/>
            <w:left w:val="none" w:sz="0" w:space="0" w:color="auto"/>
            <w:bottom w:val="none" w:sz="0" w:space="0" w:color="auto"/>
            <w:right w:val="none" w:sz="0" w:space="0" w:color="auto"/>
          </w:divBdr>
        </w:div>
      </w:divsChild>
    </w:div>
    <w:div w:id="411510657">
      <w:bodyDiv w:val="1"/>
      <w:marLeft w:val="0"/>
      <w:marRight w:val="0"/>
      <w:marTop w:val="0"/>
      <w:marBottom w:val="0"/>
      <w:divBdr>
        <w:top w:val="none" w:sz="0" w:space="0" w:color="auto"/>
        <w:left w:val="none" w:sz="0" w:space="0" w:color="auto"/>
        <w:bottom w:val="none" w:sz="0" w:space="0" w:color="auto"/>
        <w:right w:val="none" w:sz="0" w:space="0" w:color="auto"/>
      </w:divBdr>
    </w:div>
    <w:div w:id="818958865">
      <w:bodyDiv w:val="1"/>
      <w:marLeft w:val="0"/>
      <w:marRight w:val="0"/>
      <w:marTop w:val="0"/>
      <w:marBottom w:val="0"/>
      <w:divBdr>
        <w:top w:val="none" w:sz="0" w:space="0" w:color="auto"/>
        <w:left w:val="none" w:sz="0" w:space="0" w:color="auto"/>
        <w:bottom w:val="none" w:sz="0" w:space="0" w:color="auto"/>
        <w:right w:val="none" w:sz="0" w:space="0" w:color="auto"/>
      </w:divBdr>
    </w:div>
    <w:div w:id="1049108043">
      <w:bodyDiv w:val="1"/>
      <w:marLeft w:val="0"/>
      <w:marRight w:val="0"/>
      <w:marTop w:val="0"/>
      <w:marBottom w:val="0"/>
      <w:divBdr>
        <w:top w:val="none" w:sz="0" w:space="0" w:color="auto"/>
        <w:left w:val="none" w:sz="0" w:space="0" w:color="auto"/>
        <w:bottom w:val="none" w:sz="0" w:space="0" w:color="auto"/>
        <w:right w:val="none" w:sz="0" w:space="0" w:color="auto"/>
      </w:divBdr>
      <w:divsChild>
        <w:div w:id="1994525438">
          <w:marLeft w:val="0"/>
          <w:marRight w:val="0"/>
          <w:marTop w:val="0"/>
          <w:marBottom w:val="0"/>
          <w:divBdr>
            <w:top w:val="none" w:sz="0" w:space="0" w:color="auto"/>
            <w:left w:val="none" w:sz="0" w:space="0" w:color="auto"/>
            <w:bottom w:val="none" w:sz="0" w:space="0" w:color="auto"/>
            <w:right w:val="none" w:sz="0" w:space="0" w:color="auto"/>
          </w:divBdr>
        </w:div>
      </w:divsChild>
    </w:div>
    <w:div w:id="1115756526">
      <w:bodyDiv w:val="1"/>
      <w:marLeft w:val="0"/>
      <w:marRight w:val="0"/>
      <w:marTop w:val="0"/>
      <w:marBottom w:val="0"/>
      <w:divBdr>
        <w:top w:val="none" w:sz="0" w:space="0" w:color="auto"/>
        <w:left w:val="none" w:sz="0" w:space="0" w:color="auto"/>
        <w:bottom w:val="none" w:sz="0" w:space="0" w:color="auto"/>
        <w:right w:val="none" w:sz="0" w:space="0" w:color="auto"/>
      </w:divBdr>
    </w:div>
    <w:div w:id="1680426440">
      <w:bodyDiv w:val="1"/>
      <w:marLeft w:val="0"/>
      <w:marRight w:val="0"/>
      <w:marTop w:val="0"/>
      <w:marBottom w:val="0"/>
      <w:divBdr>
        <w:top w:val="none" w:sz="0" w:space="0" w:color="auto"/>
        <w:left w:val="none" w:sz="0" w:space="0" w:color="auto"/>
        <w:bottom w:val="none" w:sz="0" w:space="0" w:color="auto"/>
        <w:right w:val="none" w:sz="0" w:space="0" w:color="auto"/>
      </w:divBdr>
    </w:div>
    <w:div w:id="18888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1</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Faery Dragon</dc:creator>
  <cp:keywords/>
  <dc:description/>
  <cp:lastModifiedBy>Faery Dragon</cp:lastModifiedBy>
  <cp:revision>50</cp:revision>
  <cp:lastPrinted>2021-11-09T20:00:00Z</cp:lastPrinted>
  <dcterms:created xsi:type="dcterms:W3CDTF">2021-08-18T19:40:00Z</dcterms:created>
  <dcterms:modified xsi:type="dcterms:W3CDTF">2021-11-09T23:33:00Z</dcterms:modified>
</cp:coreProperties>
</file>