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83C37" w14:textId="103EDDC4" w:rsidR="005E597B" w:rsidRDefault="00A80F3A">
      <w:r>
        <w:t>Court case summaries for What’s New September 2024</w:t>
      </w:r>
    </w:p>
    <w:p w14:paraId="45D3B18E" w14:textId="77777777" w:rsidR="00A80F3A" w:rsidRDefault="00A80F3A"/>
    <w:p w14:paraId="339C99A6" w14:textId="6DAE9CE1" w:rsidR="00A80F3A" w:rsidRDefault="005E704B">
      <w:r>
        <w:t>McCauley v McDonough</w:t>
      </w:r>
    </w:p>
    <w:p w14:paraId="51D4F18C" w14:textId="633E1035" w:rsidR="005E704B" w:rsidRDefault="005E704B">
      <w:r>
        <w:t xml:space="preserve">     Veteran McCauley is a Navy veteran with service from 1960-1965 </w:t>
      </w:r>
      <w:r w:rsidR="006F0B22">
        <w:t>who made</w:t>
      </w:r>
      <w:r>
        <w:t xml:space="preserve"> claims for service connection for his diabetes mellitus type II and heart disease, both due either to herbicide exposure while in waters near Vietnam or to contaminated water exposure at Camp Lejeune. The Regional Office granted service connection for both diabetes and coronary artery disease</w:t>
      </w:r>
      <w:r w:rsidR="006F0B22">
        <w:t xml:space="preserve"> on a presumptive basis due to herbicide exposure aboard USS Comstock. The decision explained that they would not address contaminated water exposure, because with the grant of service connection, that avenue of the claim was not relevant. Soon after, it was discovered by VA that the USS Comstock had not been in inland Vietnam waters during the time when McCauley was aboard. They acknowledged their mistake, proposed to sever, and then severed all service connected disabilities.</w:t>
      </w:r>
    </w:p>
    <w:p w14:paraId="3A697E6B" w14:textId="44844A28" w:rsidR="006F0B22" w:rsidRDefault="006F0B22">
      <w:r>
        <w:t xml:space="preserve">     The decision by CAVC is that VA cannot sever any disability without first attempting to grant service connection by all other means raised either by the veteran or by the record. They explained that most claims are referencing events in the past, so the onus of proof is on the veteran, but a CUE is an event in the present, so the onus of proof is on the government. For that reason, it is up to VA to show there is no </w:t>
      </w:r>
      <w:r w:rsidR="00EE06E5">
        <w:t>choice but to sever, and VA</w:t>
      </w:r>
      <w:r>
        <w:t xml:space="preserve"> must continue to pay the veteran until the issue of service connection is resolved.</w:t>
      </w:r>
    </w:p>
    <w:p w14:paraId="68D44812" w14:textId="77777777" w:rsidR="00EE06E5" w:rsidRDefault="00EE06E5"/>
    <w:p w14:paraId="0179FB17" w14:textId="7DC0C1A6" w:rsidR="00EE06E5" w:rsidRDefault="00EE06E5">
      <w:r>
        <w:t>Frazier v McDonough</w:t>
      </w:r>
    </w:p>
    <w:p w14:paraId="214A9226" w14:textId="2B7C28B6" w:rsidR="00EE06E5" w:rsidRDefault="00EE06E5">
      <w:r>
        <w:t xml:space="preserve">     The claimant in this case is not the veteran. Veteran Frazier was a Navy veteran who was in receipt of benefits for service connected disabilities. Due to the severity of his health, he had submitted additional claims, including </w:t>
      </w:r>
      <w:r w:rsidR="003A1D2C">
        <w:t>additional</w:t>
      </w:r>
      <w:r>
        <w:t xml:space="preserve"> service connected disabilities, SAH/SHA, auto &amp; adaptive equipment, and SMC based either on aid &amp; attendance or housebound. While the claims were pending, the veteran died. </w:t>
      </w:r>
      <w:r w:rsidR="00956CE5">
        <w:t>His daughter, also Frazier, applied for accrued benefits and received them. Ms. Fraizer also applied to be a substitute for the veteran’s pending claims and substitution was granted</w:t>
      </w:r>
      <w:r w:rsidR="00956CE5">
        <w:t xml:space="preserve"> on the basis that she paid for costs of last sickness and burial</w:t>
      </w:r>
      <w:r w:rsidR="00956CE5">
        <w:t xml:space="preserve">. </w:t>
      </w:r>
      <w:r>
        <w:t>VA granted the</w:t>
      </w:r>
      <w:r w:rsidR="00956CE5">
        <w:t xml:space="preserve"> pending</w:t>
      </w:r>
      <w:r>
        <w:t xml:space="preserve"> SC claims, and since he qualified for the greater benefit, granted A&amp;A rather than HB. VA dismissed all the remaining claims because they are non-periodic</w:t>
      </w:r>
      <w:r w:rsidR="00956CE5">
        <w:t xml:space="preserve"> (non-accrued)</w:t>
      </w:r>
      <w:r>
        <w:t xml:space="preserve">, personal benefits that do not survive the veteran’s death. </w:t>
      </w:r>
      <w:r w:rsidR="00956CE5">
        <w:t>Ms. Frazier appealed the decision not to grant HB in addition to the A&amp;A, claiming that her father meant to specifically claim</w:t>
      </w:r>
      <w:r>
        <w:t xml:space="preserve"> </w:t>
      </w:r>
      <w:r w:rsidR="00956CE5">
        <w:t>statutory HB. She also appealed the decision to close the non-accrued benefit</w:t>
      </w:r>
      <w:r w:rsidR="003A1D2C">
        <w:t xml:space="preserve"> claims</w:t>
      </w:r>
      <w:r w:rsidR="00956CE5">
        <w:t xml:space="preserve">. And finally, she appealed the decision to cap benefits for substitutions, claiming that she was entitled to all benefits because she met criteria for accrued </w:t>
      </w:r>
      <w:r w:rsidR="00956CE5">
        <w:lastRenderedPageBreak/>
        <w:t>benefits, therefore should not be limited by criteria based on payment of last sickness and burial.</w:t>
      </w:r>
    </w:p>
    <w:p w14:paraId="1CA3F327" w14:textId="2DCCBBCF" w:rsidR="00956CE5" w:rsidRDefault="00956CE5">
      <w:r>
        <w:t xml:space="preserve">     The decision by CAVC is that there is no limit in VA law that prevents a substitution for non-accrued benefits. It specifically states that substitution is allowed for “any benefit.” The</w:t>
      </w:r>
      <w:r w:rsidR="003A1D2C">
        <w:t xml:space="preserve"> court and VA agreed that the</w:t>
      </w:r>
      <w:r>
        <w:t xml:space="preserve"> claim for statutory HB must be addressed</w:t>
      </w:r>
      <w:r w:rsidR="003A1D2C">
        <w:t>, rather than dismissed,</w:t>
      </w:r>
      <w:r>
        <w:t xml:space="preserve"> and a clear discussion of the reason for denial according to law be provided for the substitute claimant</w:t>
      </w:r>
      <w:r w:rsidR="00C37DC0">
        <w:t>. On the matter of award limits, the court found that the purpose of the right to substitution is making whole the individual who paid for last sickness and burial. Despite qualifying for accrued benefits in a different claim, Ms. Frazier still must abide by the spirit of the law for substitute claimants, which is reimbursement of expenses</w:t>
      </w:r>
      <w:r w:rsidR="003A1D2C">
        <w:t xml:space="preserve"> for last sickness and burial</w:t>
      </w:r>
      <w:r w:rsidR="00C37DC0">
        <w:t xml:space="preserve">. </w:t>
      </w:r>
    </w:p>
    <w:p w14:paraId="5DBEC579" w14:textId="77777777" w:rsidR="00BD1FDB" w:rsidRDefault="00BD1FDB"/>
    <w:p w14:paraId="00632C2F" w14:textId="51ADC1B6" w:rsidR="00BD1FDB" w:rsidRDefault="00BD1FDB">
      <w:r>
        <w:t>Banschbach v McDonough</w:t>
      </w:r>
    </w:p>
    <w:p w14:paraId="570BA05F" w14:textId="66CDDB1E" w:rsidR="00BD1FDB" w:rsidRDefault="00BD1FDB">
      <w:r>
        <w:t xml:space="preserve">     Veteran Banschbach is an Army veteran who underwent hernia surgery during active duty. </w:t>
      </w:r>
      <w:r w:rsidR="00B80F75">
        <w:t>He has service connection for partial paralysis of the ilio-inguinal nerve as a residual of the surgery. He appealed this decision because he said VA failed to address whether he also qualifies for service connection of neuritis and neuralgia of the ilio-inguinal nerve. VA explained that the disability of paralysis incorporates the symptoms of neuritis and neuralgia, and therefore cannot be considered separately from paralysis because the symptoms overlap, and that is pyramiding, which is prohibited by law. Furthermore, they explained that an evaluation by paralysis allows a greater evaluation, so their decision is in the best interests of the veteran.</w:t>
      </w:r>
    </w:p>
    <w:p w14:paraId="2CD9C2FB" w14:textId="1353BC22" w:rsidR="00F603CE" w:rsidRDefault="00F603CE">
      <w:r>
        <w:t xml:space="preserve">     The decision by CAVC is that the law does not explicitly prohibit considering neuritis and neuralgia in addition to paralysis. They said that, according to the description of these disabilities in VA law, the symptoms do not necessarily overlap, so there should be no assumption that they have. Therefore, veterans deserve to have each condition described and discussed independently: paralysis, neuritis, and neuralgia, for each nerve disability. </w:t>
      </w:r>
    </w:p>
    <w:p w14:paraId="56391E3B" w14:textId="77777777" w:rsidR="00F603CE" w:rsidRDefault="00F603CE"/>
    <w:p w14:paraId="6C95EF12" w14:textId="71EA2113" w:rsidR="00F603CE" w:rsidRDefault="00F603CE">
      <w:r>
        <w:t>Barry v McDonough</w:t>
      </w:r>
    </w:p>
    <w:p w14:paraId="31B89852" w14:textId="13B3CA67" w:rsidR="00F603CE" w:rsidRDefault="00F603CE">
      <w:r>
        <w:t xml:space="preserve">     Veteran Barry was seriously injured during his service from 1969-1971. He was hospitalized for 13 months as a result of these injuries, and upon discharge from the hospital was medically retired from the Army. VA granted 100% for his disabilities. Mr. Barry’s disabilities are so severe that his condition warrants benefits in addition to the 100% evaluation, and so he </w:t>
      </w:r>
      <w:r w:rsidR="004540CF">
        <w:t>i</w:t>
      </w:r>
      <w:r w:rsidR="00451371">
        <w:t>s entitled to</w:t>
      </w:r>
      <w:r>
        <w:t xml:space="preserve"> SMC. His </w:t>
      </w:r>
      <w:r w:rsidR="00451371">
        <w:t xml:space="preserve">lower extremity </w:t>
      </w:r>
      <w:r>
        <w:t>musculoskeletal disabilities warranted SMC at the M level. Furthermore, based on the “next-higher” provision in VA law</w:t>
      </w:r>
      <w:r w:rsidR="00451371">
        <w:t xml:space="preserve"> (38 CFR 3.350(f))</w:t>
      </w:r>
      <w:r>
        <w:t xml:space="preserve">, the veteran’s additional disabilities pf 50% or more </w:t>
      </w:r>
      <w:r>
        <w:lastRenderedPageBreak/>
        <w:t xml:space="preserve">unrelated to the </w:t>
      </w:r>
      <w:r w:rsidR="004540CF">
        <w:t xml:space="preserve">lower extremity </w:t>
      </w:r>
      <w:r>
        <w:t xml:space="preserve">musculoskeletal conditions allowed VA to increase the M by a half-step, to M½. </w:t>
      </w:r>
      <w:r w:rsidR="00C414AF">
        <w:t xml:space="preserve">The veteran appealed because he actually has </w:t>
      </w:r>
      <w:r w:rsidR="004540CF">
        <w:t>more than one</w:t>
      </w:r>
      <w:r w:rsidR="00C414AF">
        <w:t xml:space="preserve"> additional disabilities of 50% or more, so he believes he is entitled to not one half step, but </w:t>
      </w:r>
      <w:r w:rsidR="004540CF">
        <w:t>more.</w:t>
      </w:r>
      <w:r w:rsidR="00C414AF">
        <w:t xml:space="preserve"> VA explained that the law allows for a half step increase when there is </w:t>
      </w:r>
      <w:r w:rsidR="00451371">
        <w:t>a separate disability of 50% or more, and a full step increase when there is a separate disability of 100%, but that the law does not allow this to be applied more than once. Since he does not have a separate 100%, then VA awarded the greatest benefit to which he was entitled, which is the half step for 50%.</w:t>
      </w:r>
    </w:p>
    <w:p w14:paraId="49D59084" w14:textId="16ECB12B" w:rsidR="00451371" w:rsidRDefault="00451371">
      <w:r>
        <w:t xml:space="preserve">     The decision by CAFC is that the law does not specifically prohibit the award of 38 CFR 3.350(f)(3) being applied more than once. It merely explains how the increase works, and states that it is subject to a statutory cap. </w:t>
      </w:r>
      <w:r w:rsidR="00AC2C72">
        <w:t xml:space="preserve">The court gave examples of how other SMC benefits can be used more than once, such as the next higher (k) benefit and clothing allowance. They confirmed that there is a statutory cap on award level at the level of SMC(o). </w:t>
      </w:r>
    </w:p>
    <w:p w14:paraId="15ED1BEC" w14:textId="77777777" w:rsidR="00AC2C72" w:rsidRDefault="00AC2C72"/>
    <w:p w14:paraId="06E82C44" w14:textId="5FB6537A" w:rsidR="00AC2C72" w:rsidRDefault="00AC2C72">
      <w:r>
        <w:t>Frantzis v McDonough</w:t>
      </w:r>
    </w:p>
    <w:p w14:paraId="442CCC6F" w14:textId="52E7F74F" w:rsidR="00AC2C72" w:rsidRDefault="00AC2C72">
      <w:r>
        <w:t xml:space="preserve">     Veteran Frantzis is an Army veteran who was granted service connection for headaches at a non-compensable level. He appealed this evaluation and asked for a hearing.</w:t>
      </w:r>
      <w:r w:rsidR="00636A13">
        <w:t xml:space="preserve"> While his appeal was pending, VA enacted the Appeals Modernization Act (AMA), and the veteran chose to have his appeal considered under the AMA.</w:t>
      </w:r>
      <w:r>
        <w:t xml:space="preserve"> </w:t>
      </w:r>
      <w:r w:rsidR="00636A13">
        <w:t xml:space="preserve">The hearing was held by a BVA </w:t>
      </w:r>
      <w:r w:rsidR="00166AE8">
        <w:t>judge,</w:t>
      </w:r>
      <w:r w:rsidR="00636A13">
        <w:t xml:space="preserve"> and a subsequent decision was completed by a different BVA judge.</w:t>
      </w:r>
      <w:r w:rsidR="00166AE8">
        <w:t xml:space="preserve"> The veteran appealed this action, stating that his decision should have been completed by the same judge that held the hearing. This was the law prior to AMA. VA explained that as part of AMA, the old law had been revised that said the same judge who took evidence at a hearing must make the next decision. This was no longer a requirement for claims decided under AMA, which the veteran had elected. The veteran countered that a different law discussing hearings had not been changed, therefore the old law should still stand. VA said that if one law said things should stay the same, then it would be superfluous to change a different law to say otherwise.</w:t>
      </w:r>
    </w:p>
    <w:p w14:paraId="2B286624" w14:textId="2BC74172" w:rsidR="00166AE8" w:rsidRDefault="00166AE8">
      <w:r>
        <w:t xml:space="preserve">     The decision by CAFC is that the new version of USC 7107 is clear that the judge who conducted the hearing is not statutorily required to make the subsequent decision. They also explained that they do not agree with the veteran’s argument that USC 7102 – which did not change – requires the judge who conducted a hearing to be the person who makes the subsequent decision. Since the veteran elected to have his appeal decided under the AMA, then the AMA rules must be used when resolving his claim.</w:t>
      </w:r>
    </w:p>
    <w:sectPr w:rsidR="00166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dugi">
    <w:panose1 w:val="020B0502040204020203"/>
    <w:charset w:val="00"/>
    <w:family w:val="swiss"/>
    <w:pitch w:val="variable"/>
    <w:sig w:usb0="80000003" w:usb1="02000000" w:usb2="00003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3A"/>
    <w:rsid w:val="00166AE8"/>
    <w:rsid w:val="001A6A0E"/>
    <w:rsid w:val="003A1D2C"/>
    <w:rsid w:val="00424B32"/>
    <w:rsid w:val="00451371"/>
    <w:rsid w:val="004540CF"/>
    <w:rsid w:val="0053146D"/>
    <w:rsid w:val="005E597B"/>
    <w:rsid w:val="005E704B"/>
    <w:rsid w:val="00636A13"/>
    <w:rsid w:val="006F0B22"/>
    <w:rsid w:val="00857547"/>
    <w:rsid w:val="00956CE5"/>
    <w:rsid w:val="00A80F3A"/>
    <w:rsid w:val="00AC2C72"/>
    <w:rsid w:val="00B80F75"/>
    <w:rsid w:val="00B8125D"/>
    <w:rsid w:val="00BD1FDB"/>
    <w:rsid w:val="00C37DC0"/>
    <w:rsid w:val="00C414AF"/>
    <w:rsid w:val="00DE0108"/>
    <w:rsid w:val="00E15895"/>
    <w:rsid w:val="00E32B6F"/>
    <w:rsid w:val="00EE06E5"/>
    <w:rsid w:val="00F6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8BB8"/>
  <w15:chartTrackingRefBased/>
  <w15:docId w15:val="{464CE8A9-D990-4F5A-93F7-E8E2EFEC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dugi" w:eastAsiaTheme="minorHAnsi" w:hAnsi="Gadugi" w:cstheme="minorBid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F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F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0F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0F3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0F3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0F3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0F3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F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F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0F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0F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0F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0F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0F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0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F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F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0F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F3A"/>
    <w:rPr>
      <w:i/>
      <w:iCs/>
      <w:color w:val="404040" w:themeColor="text1" w:themeTint="BF"/>
    </w:rPr>
  </w:style>
  <w:style w:type="paragraph" w:styleId="ListParagraph">
    <w:name w:val="List Paragraph"/>
    <w:basedOn w:val="Normal"/>
    <w:uiPriority w:val="34"/>
    <w:qFormat/>
    <w:rsid w:val="00A80F3A"/>
    <w:pPr>
      <w:ind w:left="720"/>
      <w:contextualSpacing/>
    </w:pPr>
  </w:style>
  <w:style w:type="character" w:styleId="IntenseEmphasis">
    <w:name w:val="Intense Emphasis"/>
    <w:basedOn w:val="DefaultParagraphFont"/>
    <w:uiPriority w:val="21"/>
    <w:qFormat/>
    <w:rsid w:val="00A80F3A"/>
    <w:rPr>
      <w:i/>
      <w:iCs/>
      <w:color w:val="0F4761" w:themeColor="accent1" w:themeShade="BF"/>
    </w:rPr>
  </w:style>
  <w:style w:type="paragraph" w:styleId="IntenseQuote">
    <w:name w:val="Intense Quote"/>
    <w:basedOn w:val="Normal"/>
    <w:next w:val="Normal"/>
    <w:link w:val="IntenseQuoteChar"/>
    <w:uiPriority w:val="30"/>
    <w:qFormat/>
    <w:rsid w:val="00A80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F3A"/>
    <w:rPr>
      <w:i/>
      <w:iCs/>
      <w:color w:val="0F4761" w:themeColor="accent1" w:themeShade="BF"/>
    </w:rPr>
  </w:style>
  <w:style w:type="character" w:styleId="IntenseReference">
    <w:name w:val="Intense Reference"/>
    <w:basedOn w:val="DefaultParagraphFont"/>
    <w:uiPriority w:val="32"/>
    <w:qFormat/>
    <w:rsid w:val="00A80F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Faery Dragon</dc:creator>
  <cp:keywords/>
  <dc:description/>
  <cp:lastModifiedBy>Faery Dragon</cp:lastModifiedBy>
  <cp:revision>8</cp:revision>
  <dcterms:created xsi:type="dcterms:W3CDTF">2024-09-06T21:32:00Z</dcterms:created>
  <dcterms:modified xsi:type="dcterms:W3CDTF">2024-09-07T16:30:00Z</dcterms:modified>
</cp:coreProperties>
</file>